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79ADF">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eastAsia="黑体" w:cs="Times New Roman"/>
          <w:color w:val="000000" w:themeColor="text1"/>
          <w:sz w:val="44"/>
          <w:szCs w:val="44"/>
          <w:highlight w:val="none"/>
          <w:lang w:val="en-US" w:eastAsia="zh-CN" w:bidi="ar"/>
          <w14:textFill>
            <w14:solidFill>
              <w14:schemeClr w14:val="tx1"/>
            </w14:solidFill>
          </w14:textFill>
        </w:rPr>
      </w:pPr>
      <w:r>
        <w:rPr>
          <w:rFonts w:hint="eastAsia" w:eastAsia="黑体" w:cs="Times New Roman"/>
          <w:color w:val="000000" w:themeColor="text1"/>
          <w:sz w:val="44"/>
          <w:szCs w:val="44"/>
          <w:highlight w:val="none"/>
          <w:lang w:val="en-US" w:eastAsia="zh-CN" w:bidi="ar"/>
          <w14:textFill>
            <w14:solidFill>
              <w14:schemeClr w14:val="tx1"/>
            </w14:solidFill>
          </w14:textFill>
        </w:rPr>
        <w:t>2023年新型经营主体设施种植条件改善</w:t>
      </w:r>
      <w:bookmarkStart w:id="1" w:name="_GoBack"/>
      <w:bookmarkEnd w:id="1"/>
    </w:p>
    <w:p w14:paraId="144F22A9">
      <w:pPr>
        <w:keepNext w:val="0"/>
        <w:keepLines w:val="0"/>
        <w:pageBreakBefore w:val="0"/>
        <w:widowControl w:val="0"/>
        <w:numPr>
          <w:ilvl w:val="0"/>
          <w:numId w:val="0"/>
        </w:numPr>
        <w:kinsoku/>
        <w:wordWrap/>
        <w:overflowPunct/>
        <w:topLinePunct w:val="0"/>
        <w:autoSpaceDE/>
        <w:autoSpaceDN/>
        <w:bidi w:val="0"/>
        <w:adjustRightInd/>
        <w:snapToGrid/>
        <w:ind w:left="0" w:leftChars="0" w:right="0" w:rightChars="0" w:firstLine="0" w:firstLineChars="0"/>
        <w:jc w:val="center"/>
        <w:textAlignment w:val="auto"/>
        <w:rPr>
          <w:rFonts w:hint="eastAsia" w:ascii="黑体" w:hAnsi="黑体" w:eastAsia="黑体" w:cs="黑体"/>
          <w:sz w:val="44"/>
          <w:szCs w:val="44"/>
          <w:lang w:val="en-US" w:eastAsia="zh-CN"/>
        </w:rPr>
      </w:pPr>
      <w:r>
        <w:rPr>
          <w:rFonts w:hint="eastAsia" w:eastAsia="黑体" w:cs="Times New Roman"/>
          <w:color w:val="000000" w:themeColor="text1"/>
          <w:sz w:val="44"/>
          <w:szCs w:val="44"/>
          <w:highlight w:val="none"/>
          <w:lang w:val="en-US" w:eastAsia="zh-CN" w:bidi="ar"/>
          <w14:textFill>
            <w14:solidFill>
              <w14:schemeClr w14:val="tx1"/>
            </w14:solidFill>
          </w14:textFill>
        </w:rPr>
        <w:t>项目</w:t>
      </w:r>
      <w:r>
        <w:rPr>
          <w:rFonts w:hint="eastAsia" w:ascii="黑体" w:hAnsi="黑体" w:eastAsia="黑体" w:cs="黑体"/>
          <w:sz w:val="44"/>
          <w:szCs w:val="44"/>
          <w:lang w:val="en-US" w:eastAsia="zh-CN"/>
        </w:rPr>
        <w:t>财政重点绩效评价报告</w:t>
      </w:r>
    </w:p>
    <w:p w14:paraId="4FE8E17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一、项目概况</w:t>
      </w:r>
    </w:p>
    <w:p w14:paraId="058F480F">
      <w:pPr>
        <w:ind w:firstLine="640"/>
        <w:rPr>
          <w:rFonts w:hint="eastAsia" w:ascii="Times New Roman" w:hAnsi="Times New Roman" w:cs="Times New Roman"/>
          <w:kern w:val="0"/>
          <w:sz w:val="32"/>
          <w:szCs w:val="32"/>
          <w:lang w:val="en-US" w:eastAsia="zh-CN" w:bidi="ar-SA"/>
        </w:rPr>
      </w:pPr>
      <w:r>
        <w:rPr>
          <w:rFonts w:hint="default" w:cs="Times New Roman"/>
          <w:color w:val="000000" w:themeColor="text1"/>
          <w:kern w:val="2"/>
          <w:sz w:val="32"/>
          <w:szCs w:val="32"/>
          <w:lang w:val="en-US" w:eastAsia="zh-CN" w:bidi="ar-SA"/>
          <w14:textFill>
            <w14:solidFill>
              <w14:schemeClr w14:val="tx1"/>
            </w14:solidFill>
          </w14:textFill>
        </w:rPr>
        <w:t>根据《</w:t>
      </w:r>
      <w:r>
        <w:rPr>
          <w:rFonts w:hint="eastAsia" w:cs="Times New Roman"/>
          <w:color w:val="000000" w:themeColor="text1"/>
          <w:kern w:val="2"/>
          <w:sz w:val="32"/>
          <w:szCs w:val="32"/>
          <w:lang w:val="en-US" w:eastAsia="zh-CN" w:bidi="ar-SA"/>
          <w14:textFill>
            <w14:solidFill>
              <w14:schemeClr w14:val="tx1"/>
            </w14:solidFill>
          </w14:textFill>
        </w:rPr>
        <w:t>河南省财政厅 河南省农业农村厅关于下达2023年中央财政农业经营主体能力提升资金预算的通知</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豫财农水〔</w:t>
      </w:r>
      <w:r>
        <w:rPr>
          <w:rFonts w:hint="default" w:cs="Times New Roman"/>
          <w:color w:val="000000" w:themeColor="text1"/>
          <w:kern w:val="2"/>
          <w:sz w:val="32"/>
          <w:szCs w:val="32"/>
          <w:lang w:val="en-US" w:eastAsia="zh-CN" w:bidi="ar-SA"/>
          <w14:textFill>
            <w14:solidFill>
              <w14:schemeClr w14:val="tx1"/>
            </w14:solidFill>
          </w14:textFill>
        </w:rPr>
        <w:t>20</w:t>
      </w:r>
      <w:r>
        <w:rPr>
          <w:rFonts w:hint="eastAsia" w:cs="Times New Roman"/>
          <w:color w:val="000000" w:themeColor="text1"/>
          <w:kern w:val="2"/>
          <w:sz w:val="32"/>
          <w:szCs w:val="32"/>
          <w:lang w:val="en-US" w:eastAsia="zh-CN" w:bidi="ar-SA"/>
          <w14:textFill>
            <w14:solidFill>
              <w14:schemeClr w14:val="tx1"/>
            </w14:solidFill>
          </w14:textFill>
        </w:rPr>
        <w:t>23</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34</w:t>
      </w:r>
      <w:r>
        <w:rPr>
          <w:rFonts w:hint="default" w:cs="Times New Roman"/>
          <w:color w:val="000000" w:themeColor="text1"/>
          <w:kern w:val="2"/>
          <w:sz w:val="32"/>
          <w:szCs w:val="32"/>
          <w:lang w:val="en-US" w:eastAsia="zh-CN" w:bidi="ar-SA"/>
          <w14:textFill>
            <w14:solidFill>
              <w14:schemeClr w14:val="tx1"/>
            </w14:solidFill>
          </w14:textFill>
        </w:rPr>
        <w:t>号）</w:t>
      </w:r>
      <w:r>
        <w:rPr>
          <w:rFonts w:hint="eastAsia" w:cs="Times New Roman"/>
          <w:color w:val="000000" w:themeColor="text1"/>
          <w:kern w:val="2"/>
          <w:sz w:val="32"/>
          <w:szCs w:val="32"/>
          <w:lang w:val="en-US" w:eastAsia="zh-CN" w:bidi="ar-SA"/>
          <w14:textFill>
            <w14:solidFill>
              <w14:schemeClr w14:val="tx1"/>
            </w14:solidFill>
          </w14:textFill>
        </w:rPr>
        <w:t>、</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河南省农业农村厅 河南省财政厅关于做好2023年中央财政专项资金项目实施工作的通知</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豫农文〔</w:t>
      </w:r>
      <w:r>
        <w:rPr>
          <w:rFonts w:hint="default" w:cs="Times New Roman"/>
          <w:color w:val="000000" w:themeColor="text1"/>
          <w:kern w:val="2"/>
          <w:sz w:val="32"/>
          <w:szCs w:val="32"/>
          <w:lang w:val="en-US" w:eastAsia="zh-CN" w:bidi="ar-SA"/>
          <w14:textFill>
            <w14:solidFill>
              <w14:schemeClr w14:val="tx1"/>
            </w14:solidFill>
          </w14:textFill>
        </w:rPr>
        <w:t>20</w:t>
      </w:r>
      <w:r>
        <w:rPr>
          <w:rFonts w:hint="eastAsia" w:cs="Times New Roman"/>
          <w:color w:val="000000" w:themeColor="text1"/>
          <w:kern w:val="2"/>
          <w:sz w:val="32"/>
          <w:szCs w:val="32"/>
          <w:lang w:val="en-US" w:eastAsia="zh-CN" w:bidi="ar-SA"/>
          <w14:textFill>
            <w14:solidFill>
              <w14:schemeClr w14:val="tx1"/>
            </w14:solidFill>
          </w14:textFill>
        </w:rPr>
        <w:t>23</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287</w:t>
      </w:r>
      <w:r>
        <w:rPr>
          <w:rFonts w:hint="default" w:cs="Times New Roman"/>
          <w:color w:val="000000" w:themeColor="text1"/>
          <w:kern w:val="2"/>
          <w:sz w:val="32"/>
          <w:szCs w:val="32"/>
          <w:lang w:val="en-US" w:eastAsia="zh-CN" w:bidi="ar-SA"/>
          <w14:textFill>
            <w14:solidFill>
              <w14:schemeClr w14:val="tx1"/>
            </w14:solidFill>
          </w14:textFill>
        </w:rPr>
        <w:t>号）</w:t>
      </w:r>
      <w:r>
        <w:rPr>
          <w:rFonts w:hint="eastAsia" w:cs="Times New Roman"/>
          <w:color w:val="000000" w:themeColor="text1"/>
          <w:kern w:val="2"/>
          <w:sz w:val="32"/>
          <w:szCs w:val="32"/>
          <w:lang w:val="en-US" w:eastAsia="zh-CN" w:bidi="ar-SA"/>
          <w14:textFill>
            <w14:solidFill>
              <w14:schemeClr w14:val="tx1"/>
            </w14:solidFill>
          </w14:textFill>
        </w:rPr>
        <w:t>文件精神</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Times New Roman"/>
          <w:color w:val="000000" w:themeColor="text1"/>
          <w:kern w:val="2"/>
          <w:sz w:val="32"/>
          <w:szCs w:val="32"/>
          <w:lang w:val="en-US" w:eastAsia="zh-CN" w:bidi="ar-SA"/>
          <w14:textFill>
            <w14:solidFill>
              <w14:schemeClr w14:val="tx1"/>
            </w14:solidFill>
          </w14:textFill>
        </w:rPr>
        <w:t>突出抓好农民合作社和家庭农场两类农业经营主体发展，支持县级及以上农民合作社示范社和示范家庭农场改善生产设施条件，应用先进适用技术，培育品牌、拓展营销渠道，提高生产经营发展水平，提升联农带农服务能力</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2023年</w:t>
      </w:r>
      <w:r>
        <w:rPr>
          <w:rFonts w:hint="eastAsia" w:cs="仿宋"/>
          <w:b w:val="0"/>
          <w:bCs w:val="0"/>
          <w:snapToGrid/>
          <w:color w:val="000000" w:themeColor="text1"/>
          <w:kern w:val="2"/>
          <w:sz w:val="32"/>
          <w:szCs w:val="32"/>
          <w:lang w:val="en-US" w:eastAsia="zh-CN" w:bidi="ar-SA"/>
          <w14:textFill>
            <w14:solidFill>
              <w14:schemeClr w14:val="tx1"/>
            </w14:solidFill>
          </w14:textFill>
        </w:rPr>
        <w:t>新型经营主体设施种植条件改善项目涉及中央财政资金400万元。依据《财政部 农业农村部关于印发农业相关转移支付资金管理办法的通知》（财农</w:t>
      </w:r>
      <w:r>
        <w:rPr>
          <w:rFonts w:hint="eastAsia" w:cs="Times New Roman"/>
          <w:color w:val="000000" w:themeColor="text1"/>
          <w:kern w:val="2"/>
          <w:sz w:val="32"/>
          <w:szCs w:val="32"/>
          <w:lang w:val="en-US" w:eastAsia="zh-CN" w:bidi="ar-SA"/>
          <w14:textFill>
            <w14:solidFill>
              <w14:schemeClr w14:val="tx1"/>
            </w14:solidFill>
          </w14:textFill>
        </w:rPr>
        <w:t>〔</w:t>
      </w:r>
      <w:r>
        <w:rPr>
          <w:rFonts w:hint="default" w:cs="Times New Roman"/>
          <w:color w:val="000000" w:themeColor="text1"/>
          <w:kern w:val="2"/>
          <w:sz w:val="32"/>
          <w:szCs w:val="32"/>
          <w:lang w:val="en-US" w:eastAsia="zh-CN" w:bidi="ar-SA"/>
          <w14:textFill>
            <w14:solidFill>
              <w14:schemeClr w14:val="tx1"/>
            </w14:solidFill>
          </w14:textFill>
        </w:rPr>
        <w:t>20</w:t>
      </w:r>
      <w:r>
        <w:rPr>
          <w:rFonts w:hint="eastAsia" w:cs="Times New Roman"/>
          <w:color w:val="000000" w:themeColor="text1"/>
          <w:kern w:val="2"/>
          <w:sz w:val="32"/>
          <w:szCs w:val="32"/>
          <w:lang w:val="en-US" w:eastAsia="zh-CN" w:bidi="ar-SA"/>
          <w14:textFill>
            <w14:solidFill>
              <w14:schemeClr w14:val="tx1"/>
            </w14:solidFill>
          </w14:textFill>
        </w:rPr>
        <w:t>23</w:t>
      </w:r>
      <w:r>
        <w:rPr>
          <w:rFonts w:hint="default" w:cs="Times New Roman"/>
          <w:color w:val="000000" w:themeColor="text1"/>
          <w:kern w:val="2"/>
          <w:sz w:val="32"/>
          <w:szCs w:val="32"/>
          <w:lang w:val="en-US" w:eastAsia="zh-CN" w:bidi="ar-SA"/>
          <w14:textFill>
            <w14:solidFill>
              <w14:schemeClr w14:val="tx1"/>
            </w14:solidFill>
          </w14:textFill>
        </w:rPr>
        <w:t>〕</w:t>
      </w:r>
      <w:r>
        <w:rPr>
          <w:rFonts w:hint="eastAsia" w:cs="仿宋"/>
          <w:b w:val="0"/>
          <w:bCs w:val="0"/>
          <w:snapToGrid/>
          <w:color w:val="000000" w:themeColor="text1"/>
          <w:kern w:val="2"/>
          <w:sz w:val="32"/>
          <w:szCs w:val="32"/>
          <w:lang w:val="en-US" w:eastAsia="zh-CN" w:bidi="ar-SA"/>
          <w14:textFill>
            <w14:solidFill>
              <w14:schemeClr w14:val="tx1"/>
            </w14:solidFill>
          </w14:textFill>
        </w:rPr>
        <w:t>11号），项目采取“自主建设、先建后补”方式。各新型经营主体建成后，向开封市祥符区农业农村局提出验收申请，由开封市祥符区农业农村局联合开封市祥符区财政局验收合格后，向实施对象兑付补助资金。项目建设内容为：新</w:t>
      </w:r>
      <w:r>
        <w:rPr>
          <w:rFonts w:hint="default"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建</w:t>
      </w: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10</w:t>
      </w:r>
      <w:r>
        <w:rPr>
          <w:rFonts w:hint="default"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座标准化日光温室，130座新型热镀锌钢结构塑料大棚，</w:t>
      </w:r>
      <w:r>
        <w:rPr>
          <w:rFonts w:hint="eastAsia"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 w:cs="仿宋"/>
          <w:b w:val="0"/>
          <w:bCs w:val="0"/>
          <w:snapToGrid/>
          <w:color w:val="000000" w:themeColor="text1"/>
          <w:kern w:val="2"/>
          <w:sz w:val="32"/>
          <w:szCs w:val="32"/>
          <w:lang w:val="en-US" w:eastAsia="zh-CN" w:bidi="ar-SA"/>
          <w14:textFill>
            <w14:solidFill>
              <w14:schemeClr w14:val="tx1"/>
            </w14:solidFill>
          </w14:textFill>
        </w:rPr>
        <w:t>座热镀锌花梁暖棚。</w:t>
      </w:r>
    </w:p>
    <w:p w14:paraId="5A886C06">
      <w:pPr>
        <w:keepNext w:val="0"/>
        <w:keepLines w:val="0"/>
        <w:pageBreakBefore w:val="0"/>
        <w:widowControl w:val="0"/>
        <w:kinsoku/>
        <w:wordWrap/>
        <w:overflowPunct/>
        <w:topLinePunct w:val="0"/>
        <w:autoSpaceDE/>
        <w:autoSpaceDN/>
        <w:bidi w:val="0"/>
        <w:adjustRightInd w:val="0"/>
        <w:snapToGrid w:val="0"/>
        <w:ind w:firstLine="640" w:firstLineChars="200"/>
        <w:textAlignment w:val="auto"/>
        <w:rPr>
          <w:rFonts w:hint="eastAsia"/>
          <w:lang w:val="en-US" w:eastAsia="zh-CN"/>
        </w:rPr>
      </w:pPr>
      <w:r>
        <w:rPr>
          <w:rFonts w:hint="eastAsia"/>
          <w:color w:val="000000" w:themeColor="text1"/>
          <w:lang w:val="en-US" w:eastAsia="zh-CN"/>
          <w14:textFill>
            <w14:solidFill>
              <w14:schemeClr w14:val="tx1"/>
            </w14:solidFill>
          </w14:textFill>
        </w:rPr>
        <w:t>项目涉及7家建设单位，</w:t>
      </w:r>
      <w:r>
        <w:rPr>
          <w:rFonts w:hint="eastAsia" w:cs="仿宋"/>
          <w:b w:val="0"/>
          <w:bCs w:val="0"/>
          <w:snapToGrid/>
          <w:color w:val="auto"/>
          <w:kern w:val="2"/>
          <w:sz w:val="32"/>
          <w:szCs w:val="32"/>
          <w:lang w:val="en-US" w:eastAsia="zh-CN" w:bidi="ar-SA"/>
        </w:rPr>
        <w:t>共计建设资金514.55万元，后评审金额459.50万元。其中涉及中央财政预算资金</w:t>
      </w:r>
      <w:r>
        <w:rPr>
          <w:rFonts w:hint="eastAsia" w:cs="仿宋"/>
          <w:b w:val="0"/>
          <w:bCs w:val="0"/>
          <w:snapToGrid/>
          <w:color w:val="000000" w:themeColor="text1"/>
          <w:kern w:val="2"/>
          <w:sz w:val="32"/>
          <w:szCs w:val="32"/>
          <w:lang w:val="en-US" w:eastAsia="zh-CN" w:bidi="ar-SA"/>
          <w14:textFill>
            <w14:solidFill>
              <w14:schemeClr w14:val="tx1"/>
            </w14:solidFill>
          </w14:textFill>
        </w:rPr>
        <w:t>400</w:t>
      </w:r>
      <w:r>
        <w:rPr>
          <w:rFonts w:hint="eastAsia" w:cs="仿宋"/>
          <w:b w:val="0"/>
          <w:bCs w:val="0"/>
          <w:snapToGrid/>
          <w:color w:val="auto"/>
          <w:kern w:val="2"/>
          <w:sz w:val="32"/>
          <w:szCs w:val="32"/>
          <w:lang w:val="en-US" w:eastAsia="zh-CN" w:bidi="ar-SA"/>
        </w:rPr>
        <w:t>万元，补助建设单位自筹资金59.50万元。</w:t>
      </w:r>
      <w:r>
        <w:rPr>
          <w:rFonts w:hint="eastAsia" w:cs="仿宋"/>
          <w:b w:val="0"/>
          <w:bCs w:val="0"/>
          <w:snapToGrid/>
          <w:color w:val="auto"/>
          <w:kern w:val="2"/>
          <w:sz w:val="32"/>
          <w:szCs w:val="32"/>
          <w:highlight w:val="none"/>
          <w:lang w:val="en-US" w:eastAsia="zh-CN" w:bidi="ar-SA"/>
        </w:rPr>
        <w:t>截止到2023年12月31日</w:t>
      </w:r>
      <w:r>
        <w:rPr>
          <w:rFonts w:hint="eastAsia" w:cs="仿宋"/>
          <w:b w:val="0"/>
          <w:bCs w:val="0"/>
          <w:snapToGrid/>
          <w:color w:val="auto"/>
          <w:kern w:val="2"/>
          <w:sz w:val="32"/>
          <w:szCs w:val="32"/>
          <w:lang w:val="en-US" w:eastAsia="zh-CN" w:bidi="ar-SA"/>
        </w:rPr>
        <w:t>，应到位中央财政预算资金</w:t>
      </w:r>
      <w:r>
        <w:rPr>
          <w:rFonts w:hint="eastAsia" w:cs="仿宋"/>
          <w:b w:val="0"/>
          <w:bCs w:val="0"/>
          <w:snapToGrid/>
          <w:color w:val="000000" w:themeColor="text1"/>
          <w:kern w:val="2"/>
          <w:sz w:val="32"/>
          <w:szCs w:val="32"/>
          <w:lang w:val="en-US" w:eastAsia="zh-CN" w:bidi="ar-SA"/>
          <w14:textFill>
            <w14:solidFill>
              <w14:schemeClr w14:val="tx1"/>
            </w14:solidFill>
          </w14:textFill>
        </w:rPr>
        <w:t>400</w:t>
      </w:r>
      <w:r>
        <w:rPr>
          <w:rFonts w:hint="eastAsia" w:cs="仿宋"/>
          <w:b w:val="0"/>
          <w:bCs w:val="0"/>
          <w:snapToGrid/>
          <w:color w:val="auto"/>
          <w:kern w:val="2"/>
          <w:sz w:val="32"/>
          <w:szCs w:val="32"/>
          <w:lang w:val="en-US" w:eastAsia="zh-CN" w:bidi="ar-SA"/>
        </w:rPr>
        <w:t>万元，实际到位资金</w:t>
      </w:r>
      <w:r>
        <w:rPr>
          <w:rFonts w:hint="eastAsia" w:cs="仿宋"/>
          <w:b w:val="0"/>
          <w:bCs w:val="0"/>
          <w:snapToGrid/>
          <w:color w:val="000000" w:themeColor="text1"/>
          <w:kern w:val="2"/>
          <w:sz w:val="32"/>
          <w:szCs w:val="32"/>
          <w:lang w:val="en-US" w:eastAsia="zh-CN" w:bidi="ar-SA"/>
          <w14:textFill>
            <w14:solidFill>
              <w14:schemeClr w14:val="tx1"/>
            </w14:solidFill>
          </w14:textFill>
        </w:rPr>
        <w:t>400</w:t>
      </w:r>
      <w:r>
        <w:rPr>
          <w:rFonts w:hint="eastAsia" w:cs="仿宋"/>
          <w:b w:val="0"/>
          <w:bCs w:val="0"/>
          <w:snapToGrid/>
          <w:color w:val="auto"/>
          <w:kern w:val="2"/>
          <w:sz w:val="32"/>
          <w:szCs w:val="32"/>
          <w:lang w:val="en-US" w:eastAsia="zh-CN" w:bidi="ar-SA"/>
        </w:rPr>
        <w:t>万元，资金到位率100%。</w:t>
      </w:r>
      <w:r>
        <w:rPr>
          <w:rFonts w:hint="eastAsia"/>
          <w:color w:val="000000" w:themeColor="text1"/>
          <w:lang w:val="en-US" w:eastAsia="zh-CN"/>
          <w14:textFill>
            <w14:solidFill>
              <w14:schemeClr w14:val="tx1"/>
            </w14:solidFill>
          </w14:textFill>
        </w:rPr>
        <w:t>项目共支出资金123.20万元，预算执行率30.80%。项目</w:t>
      </w:r>
      <w:r>
        <w:rPr>
          <w:rFonts w:hint="eastAsia" w:cs="仿宋"/>
          <w:b w:val="0"/>
          <w:bCs w:val="0"/>
          <w:snapToGrid/>
          <w:color w:val="auto"/>
          <w:kern w:val="2"/>
          <w:sz w:val="32"/>
          <w:szCs w:val="32"/>
          <w:lang w:val="en-US" w:eastAsia="zh-CN" w:bidi="ar-SA"/>
        </w:rPr>
        <w:t>已完成全部建设任务，</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cs="仿宋"/>
          <w:b w:val="0"/>
          <w:bCs w:val="0"/>
          <w:snapToGrid/>
          <w:color w:val="auto"/>
          <w:kern w:val="2"/>
          <w:sz w:val="32"/>
          <w:szCs w:val="32"/>
          <w:lang w:val="en-US" w:eastAsia="zh-CN" w:bidi="ar-SA"/>
        </w:rPr>
        <w:t>区</w:t>
      </w:r>
      <w:r>
        <w:rPr>
          <w:rFonts w:hint="eastAsia" w:cs="仿宋"/>
          <w:b w:val="0"/>
          <w:bCs w:val="0"/>
          <w:snapToGrid/>
          <w:color w:val="000000" w:themeColor="text1"/>
          <w:kern w:val="2"/>
          <w:sz w:val="32"/>
          <w:szCs w:val="32"/>
          <w:lang w:val="en-US" w:eastAsia="zh-CN" w:bidi="ar-SA"/>
          <w14:textFill>
            <w14:solidFill>
              <w14:schemeClr w14:val="tx1"/>
            </w14:solidFill>
          </w14:textFill>
        </w:rPr>
        <w:t>农业农村局</w:t>
      </w:r>
      <w:r>
        <w:rPr>
          <w:rFonts w:hint="eastAsia" w:cs="仿宋"/>
          <w:b w:val="0"/>
          <w:bCs w:val="0"/>
          <w:snapToGrid/>
          <w:color w:val="auto"/>
          <w:kern w:val="2"/>
          <w:sz w:val="32"/>
          <w:szCs w:val="32"/>
          <w:lang w:val="en-US" w:eastAsia="zh-CN" w:bidi="ar-SA"/>
        </w:rPr>
        <w:t>联合</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cs="仿宋"/>
          <w:b w:val="0"/>
          <w:bCs w:val="0"/>
          <w:snapToGrid/>
          <w:color w:val="auto"/>
          <w:kern w:val="2"/>
          <w:sz w:val="32"/>
          <w:szCs w:val="32"/>
          <w:lang w:val="en-US" w:eastAsia="zh-CN" w:bidi="ar-SA"/>
        </w:rPr>
        <w:t>区</w:t>
      </w:r>
      <w:r>
        <w:rPr>
          <w:rFonts w:hint="eastAsia" w:cs="仿宋"/>
          <w:b w:val="0"/>
          <w:bCs w:val="0"/>
          <w:snapToGrid/>
          <w:color w:val="000000" w:themeColor="text1"/>
          <w:kern w:val="2"/>
          <w:sz w:val="32"/>
          <w:szCs w:val="32"/>
          <w:lang w:val="en-US" w:eastAsia="zh-CN" w:bidi="ar-SA"/>
          <w14:textFill>
            <w14:solidFill>
              <w14:schemeClr w14:val="tx1"/>
            </w14:solidFill>
          </w14:textFill>
        </w:rPr>
        <w:t>财政局</w:t>
      </w:r>
      <w:r>
        <w:rPr>
          <w:rFonts w:hint="eastAsia" w:cs="仿宋"/>
          <w:b w:val="0"/>
          <w:bCs w:val="0"/>
          <w:snapToGrid/>
          <w:color w:val="auto"/>
          <w:kern w:val="2"/>
          <w:sz w:val="32"/>
          <w:szCs w:val="32"/>
          <w:lang w:val="en-US" w:eastAsia="zh-CN" w:bidi="ar-SA"/>
        </w:rPr>
        <w:t>于2024年1月19日完成验收，验收均合格。</w:t>
      </w:r>
    </w:p>
    <w:p w14:paraId="4D9E0AE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二、评价结论</w:t>
      </w:r>
    </w:p>
    <w:p w14:paraId="062BC90E">
      <w:pPr>
        <w:bidi w:val="0"/>
        <w:rPr>
          <w:rFonts w:hint="eastAsia" w:ascii="仿宋_GB2312" w:hAnsi="仿宋_GB2312" w:eastAsia="仿宋_GB2312" w:cs="仿宋_GB2312"/>
          <w:szCs w:val="40"/>
          <w:lang w:val="en-US" w:eastAsia="zh-CN"/>
        </w:rPr>
      </w:pPr>
      <w:r>
        <w:rPr>
          <w:rFonts w:hint="eastAsia"/>
          <w:color w:val="000000" w:themeColor="text1"/>
          <w:lang w:val="en-US" w:eastAsia="zh-CN"/>
          <w14:textFill>
            <w14:solidFill>
              <w14:schemeClr w14:val="tx1"/>
            </w14:solidFill>
          </w14:textFill>
        </w:rPr>
        <w:t>2023年新型经营主体设施种植条件改善项目</w:t>
      </w:r>
      <w:r>
        <w:rPr>
          <w:rFonts w:hint="eastAsia"/>
          <w:lang w:val="en-US" w:eastAsia="zh-CN"/>
        </w:rPr>
        <w:t>绩效评价综合得分90.92分，评价等级为“优”。</w:t>
      </w:r>
    </w:p>
    <w:p w14:paraId="062B97F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default" w:ascii="黑体" w:hAnsi="黑体" w:eastAsia="黑体" w:cs="黑体"/>
          <w:sz w:val="32"/>
          <w:szCs w:val="40"/>
          <w:highlight w:val="none"/>
          <w:lang w:val="en-US" w:eastAsia="zh-CN"/>
        </w:rPr>
      </w:pPr>
      <w:r>
        <w:rPr>
          <w:rFonts w:hint="eastAsia" w:ascii="黑体" w:hAnsi="黑体" w:eastAsia="黑体" w:cs="黑体"/>
          <w:sz w:val="32"/>
          <w:szCs w:val="40"/>
          <w:highlight w:val="none"/>
          <w:lang w:val="en-US" w:eastAsia="zh-CN"/>
        </w:rPr>
        <w:t>三、主要经验做法</w:t>
      </w:r>
    </w:p>
    <w:p w14:paraId="1B228DE4">
      <w:pPr>
        <w:bidi w:val="0"/>
        <w:rPr>
          <w:rFonts w:hint="eastAsia"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cs="Times New Roman"/>
          <w:color w:val="000000" w:themeColor="text1"/>
          <w:kern w:val="2"/>
          <w:sz w:val="32"/>
          <w:szCs w:val="32"/>
          <w:lang w:val="en-US" w:eastAsia="zh-CN" w:bidi="ar-SA"/>
          <w14:textFill>
            <w14:solidFill>
              <w14:schemeClr w14:val="tx1"/>
            </w14:solidFill>
          </w14:textFill>
        </w:rPr>
        <w:t>（一）</w:t>
      </w:r>
      <w:r>
        <w:rPr>
          <w:rFonts w:hint="eastAsia"/>
          <w:color w:val="000000" w:themeColor="text1"/>
          <w:lang w:val="en-US" w:eastAsia="zh-CN"/>
          <w14:textFill>
            <w14:solidFill>
              <w14:schemeClr w14:val="tx1"/>
            </w14:solidFill>
          </w14:textFill>
        </w:rPr>
        <w:t>项目立项规范，制度健全。</w:t>
      </w:r>
      <w:r>
        <w:rPr>
          <w:rFonts w:hint="eastAsia"/>
          <w:color w:val="000000" w:themeColor="text1"/>
          <w:lang w:val="zh-CN"/>
          <w14:textFill>
            <w14:solidFill>
              <w14:schemeClr w14:val="tx1"/>
            </w14:solidFill>
          </w14:textFill>
        </w:rPr>
        <w:t>项目</w:t>
      </w:r>
      <w:r>
        <w:rPr>
          <w:rFonts w:hint="eastAsia"/>
          <w:color w:val="000000" w:themeColor="text1"/>
          <w:lang w:val="en-US" w:eastAsia="zh-CN"/>
          <w14:textFill>
            <w14:solidFill>
              <w14:schemeClr w14:val="tx1"/>
            </w14:solidFill>
          </w14:textFill>
        </w:rPr>
        <w:t>依据相关文件进行立项</w:t>
      </w:r>
      <w:r>
        <w:rPr>
          <w:rFonts w:hint="eastAsia"/>
          <w:lang w:val="en-US" w:eastAsia="zh-CN"/>
        </w:rPr>
        <w:t>，资金预算合理，绩效目标明确，绩效意识强。在业务管理制度方面，</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w:t>
      </w:r>
      <w:r>
        <w:rPr>
          <w:rFonts w:hint="eastAsia"/>
          <w:lang w:val="en-US" w:eastAsia="zh-CN"/>
        </w:rPr>
        <w:t>编写《</w:t>
      </w:r>
      <w:r>
        <w:rPr>
          <w:rFonts w:hint="eastAsia"/>
          <w:color w:val="000000" w:themeColor="text1"/>
          <w:lang w:val="en-US" w:eastAsia="zh-CN"/>
          <w14:textFill>
            <w14:solidFill>
              <w14:schemeClr w14:val="tx1"/>
            </w14:solidFill>
          </w14:textFill>
        </w:rPr>
        <w:t>开封市祥符区农业农村局</w:t>
      </w:r>
      <w:r>
        <w:rPr>
          <w:rFonts w:hint="eastAsia"/>
          <w:lang w:val="en-US" w:eastAsia="zh-CN"/>
        </w:rPr>
        <w:t>2023年</w:t>
      </w:r>
      <w:r>
        <w:rPr>
          <w:rFonts w:hint="eastAsia"/>
          <w:color w:val="000000" w:themeColor="text1"/>
          <w:lang w:val="en-US" w:eastAsia="zh-CN"/>
          <w14:textFill>
            <w14:solidFill>
              <w14:schemeClr w14:val="tx1"/>
            </w14:solidFill>
          </w14:textFill>
        </w:rPr>
        <w:t>新型经营主体设施种植条件改善项目</w:t>
      </w:r>
      <w:r>
        <w:rPr>
          <w:rFonts w:hint="eastAsia"/>
          <w:lang w:val="en-US" w:eastAsia="zh-CN"/>
        </w:rPr>
        <w:t>实施方案》</w:t>
      </w:r>
      <w:r>
        <w:rPr>
          <w:rFonts w:hint="default"/>
          <w:lang w:val="en-US" w:eastAsia="zh-CN"/>
        </w:rPr>
        <w:t>（</w:t>
      </w:r>
      <w:r>
        <w:rPr>
          <w:rFonts w:hint="eastAsia"/>
          <w:lang w:val="en-US" w:eastAsia="zh-CN"/>
        </w:rPr>
        <w:t>汴祥农〔</w:t>
      </w:r>
      <w:r>
        <w:rPr>
          <w:rFonts w:hint="default"/>
          <w:lang w:val="en-US" w:eastAsia="zh-CN"/>
        </w:rPr>
        <w:t>20</w:t>
      </w:r>
      <w:r>
        <w:rPr>
          <w:rFonts w:hint="eastAsia"/>
          <w:lang w:val="en-US" w:eastAsia="zh-CN"/>
        </w:rPr>
        <w:t>23</w:t>
      </w:r>
      <w:r>
        <w:rPr>
          <w:rFonts w:hint="default"/>
          <w:lang w:val="en-US" w:eastAsia="zh-CN"/>
        </w:rPr>
        <w:t>〕</w:t>
      </w:r>
      <w:r>
        <w:rPr>
          <w:rFonts w:hint="eastAsia"/>
          <w:lang w:val="en-US" w:eastAsia="zh-CN"/>
        </w:rPr>
        <w:t>42</w:t>
      </w:r>
      <w:r>
        <w:rPr>
          <w:rFonts w:hint="default"/>
          <w:lang w:val="en-US" w:eastAsia="zh-CN"/>
        </w:rPr>
        <w:t>号）</w:t>
      </w:r>
      <w:r>
        <w:rPr>
          <w:rFonts w:hint="eastAsia"/>
          <w:lang w:val="en-US" w:eastAsia="zh-CN"/>
        </w:rPr>
        <w:t>文件，实施方案按照上级文件要求进行编撰，制定的实施方案合法、合规、完整</w:t>
      </w:r>
    </w:p>
    <w:p w14:paraId="50BD9D2A">
      <w:pPr>
        <w:bidi w:val="0"/>
        <w:rPr>
          <w:rFonts w:hint="eastAsia" w:ascii="仿宋_GB2312" w:hAnsi="仿宋_GB2312" w:eastAsia="仿宋_GB2312" w:cs="仿宋_GB2312"/>
          <w:szCs w:val="40"/>
          <w:lang w:val="en-US" w:eastAsia="zh-CN"/>
        </w:rPr>
      </w:pPr>
      <w:r>
        <w:rPr>
          <w:rFonts w:hint="eastAsia" w:ascii="Times New Roman" w:hAnsi="Times New Roman" w:eastAsia="仿宋" w:cs="Times New Roman"/>
          <w:color w:val="auto"/>
          <w:kern w:val="2"/>
          <w:sz w:val="32"/>
          <w:szCs w:val="32"/>
          <w:highlight w:val="none"/>
          <w:lang w:val="en-US" w:eastAsia="zh-CN" w:bidi="ar-SA"/>
        </w:rPr>
        <w:t>（二</w:t>
      </w:r>
      <w:r>
        <w:rPr>
          <w:rFonts w:hint="eastAsia"/>
          <w:lang w:val="en-US" w:eastAsia="zh-CN"/>
        </w:rPr>
        <w:t>）项目发挥预期效益，具有长期可持续性。评价组在实地调查过程中发现，</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w:t>
      </w:r>
      <w:r>
        <w:rPr>
          <w:rFonts w:hint="eastAsia"/>
          <w:lang w:val="en-US" w:eastAsia="zh-CN"/>
        </w:rPr>
        <w:t>在项目实施方案中对项目支持建设施工材料设定明确的规格标准，建设内容使用性良好。项目建设单位建</w:t>
      </w:r>
      <w:r>
        <w:rPr>
          <w:rFonts w:hint="eastAsia"/>
          <w:color w:val="auto"/>
          <w:highlight w:val="none"/>
          <w:lang w:val="en-US" w:eastAsia="zh-CN"/>
        </w:rPr>
        <w:t>立了示范基地，成了良好的示范效应，吸引了更多的农民加入到新型农业经营主体中，带动了全区设施蔬菜和露地蔬菜种植大户的种植积极性。</w:t>
      </w:r>
      <w:r>
        <w:rPr>
          <w:rFonts w:hint="eastAsia" w:ascii="Times New Roman" w:hAnsi="Times New Roman" w:eastAsia="仿宋" w:cs="Times New Roman"/>
          <w:color w:val="auto"/>
          <w:kern w:val="2"/>
          <w:szCs w:val="32"/>
          <w:highlight w:val="none"/>
          <w:lang w:val="en-US" w:eastAsia="zh-CN" w:bidi="ar-SA"/>
        </w:rPr>
        <w:t>该项目具有长期可持续性，对其他经营主体起到带头示范作用</w:t>
      </w:r>
    </w:p>
    <w:p w14:paraId="157C0B3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四、存在的主要问题</w:t>
      </w:r>
    </w:p>
    <w:p w14:paraId="1A012F39">
      <w:pPr>
        <w:bidi w:val="0"/>
        <w:rPr>
          <w:rFonts w:hint="eastAsia" w:ascii="黑体" w:hAnsi="黑体" w:eastAsia="黑体" w:cs="黑体"/>
          <w:sz w:val="32"/>
          <w:szCs w:val="40"/>
          <w:lang w:val="en-US" w:eastAsia="zh-CN"/>
        </w:rPr>
      </w:pPr>
      <w:bookmarkStart w:id="0" w:name="_Toc24716"/>
      <w:r>
        <w:rPr>
          <w:rFonts w:hint="eastAsia" w:ascii="Times New Roman" w:hAnsi="Times New Roman"/>
          <w:color w:val="000000" w:themeColor="text1"/>
          <w:highlight w:val="none"/>
          <w:lang w:val="en-US" w:eastAsia="zh-CN"/>
          <w14:textFill>
            <w14:solidFill>
              <w14:schemeClr w14:val="tx1"/>
            </w14:solidFill>
          </w14:textFill>
        </w:rPr>
        <w:t>（一）</w:t>
      </w:r>
      <w:bookmarkEnd w:id="0"/>
      <w:r>
        <w:rPr>
          <w:rFonts w:hint="eastAsia" w:ascii="Times New Roman" w:hAnsi="Times New Roman" w:cs="Times New Roman"/>
          <w:highlight w:val="none"/>
          <w:lang w:val="en-US" w:eastAsia="zh-CN"/>
        </w:rPr>
        <w:t>项目建设内容验收及时性有</w:t>
      </w:r>
      <w:r>
        <w:rPr>
          <w:rFonts w:hint="eastAsia"/>
          <w:color w:val="auto"/>
          <w:highlight w:val="none"/>
          <w:lang w:val="en-US" w:eastAsia="zh-CN"/>
        </w:rPr>
        <w:t>待提高。根据《</w:t>
      </w:r>
      <w:r>
        <w:rPr>
          <w:rFonts w:hint="eastAsia"/>
          <w:color w:val="000000" w:themeColor="text1"/>
          <w:highlight w:val="none"/>
          <w:lang w:val="en-US" w:eastAsia="zh-CN"/>
          <w14:textFill>
            <w14:solidFill>
              <w14:schemeClr w14:val="tx1"/>
            </w14:solidFill>
          </w14:textFill>
        </w:rPr>
        <w:t>开封市祥符区农业农村局</w:t>
      </w:r>
      <w:r>
        <w:rPr>
          <w:rFonts w:hint="eastAsia"/>
          <w:color w:val="auto"/>
          <w:highlight w:val="none"/>
          <w:lang w:val="en-US" w:eastAsia="zh-CN"/>
        </w:rPr>
        <w:t>2023年</w:t>
      </w:r>
      <w:r>
        <w:rPr>
          <w:rFonts w:hint="eastAsia"/>
          <w:color w:val="000000" w:themeColor="text1"/>
          <w:highlight w:val="none"/>
          <w:lang w:val="en-US" w:eastAsia="zh-CN"/>
          <w14:textFill>
            <w14:solidFill>
              <w14:schemeClr w14:val="tx1"/>
            </w14:solidFill>
          </w14:textFill>
        </w:rPr>
        <w:t>新型经营主体设施种植条件改善项目</w:t>
      </w:r>
      <w:r>
        <w:rPr>
          <w:rFonts w:hint="eastAsia"/>
          <w:color w:val="auto"/>
          <w:highlight w:val="none"/>
          <w:lang w:val="en-US" w:eastAsia="zh-CN"/>
        </w:rPr>
        <w:t>实施</w:t>
      </w:r>
      <w:r>
        <w:rPr>
          <w:rFonts w:hint="eastAsia" w:ascii="Times New Roman" w:hAnsi="Times New Roman" w:cs="Times New Roman"/>
          <w:highlight w:val="none"/>
          <w:lang w:val="en-US" w:eastAsia="zh-CN"/>
        </w:rPr>
        <w:t>方案》（汴祥农〔2023〕42号）文件，建设内容应于2023年12月31日前完成验收。</w:t>
      </w:r>
      <w:r>
        <w:rPr>
          <w:rFonts w:hint="eastAsia" w:cs="Times New Roman"/>
          <w:color w:val="000000" w:themeColor="text1"/>
          <w:highlight w:val="none"/>
          <w:lang w:val="en-US" w:eastAsia="zh-CN"/>
          <w14:textFill>
            <w14:solidFill>
              <w14:schemeClr w14:val="tx1"/>
            </w14:solidFill>
          </w14:textFill>
        </w:rPr>
        <w:t>项目</w:t>
      </w:r>
      <w:r>
        <w:rPr>
          <w:rFonts w:hint="eastAsia" w:cs="Times New Roman"/>
          <w:highlight w:val="none"/>
          <w:lang w:val="en-US" w:eastAsia="zh-CN"/>
        </w:rPr>
        <w:t>实际</w:t>
      </w:r>
      <w:r>
        <w:rPr>
          <w:rFonts w:hint="eastAsia" w:ascii="Times New Roman" w:hAnsi="Times New Roman" w:cs="Times New Roman"/>
          <w:highlight w:val="none"/>
          <w:lang w:val="en-US" w:eastAsia="zh-CN"/>
        </w:rPr>
        <w:t>于2024年1月19日完</w:t>
      </w:r>
      <w:r>
        <w:rPr>
          <w:rFonts w:hint="eastAsia"/>
          <w:color w:val="auto"/>
          <w:highlight w:val="none"/>
          <w:lang w:val="en-US" w:eastAsia="zh-CN"/>
        </w:rPr>
        <w:t>成验收，主要原因是</w:t>
      </w:r>
      <w:r>
        <w:rPr>
          <w:rFonts w:hint="eastAsia"/>
          <w:color w:val="000000" w:themeColor="text1"/>
          <w:lang w:val="en-US" w:eastAsia="zh-CN"/>
          <w14:textFill>
            <w14:solidFill>
              <w14:schemeClr w14:val="tx1"/>
            </w14:solidFill>
          </w14:textFill>
        </w:rPr>
        <w:t>2023年新型经营主体设施种植条件改善项目需要</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color w:val="000000" w:themeColor="text1"/>
          <w:lang w:val="en-US" w:eastAsia="zh-CN"/>
          <w14:textFill>
            <w14:solidFill>
              <w14:schemeClr w14:val="tx1"/>
            </w14:solidFill>
          </w14:textFill>
        </w:rPr>
        <w:t>区农业农村局联合</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color w:val="000000" w:themeColor="text1"/>
          <w:lang w:val="en-US" w:eastAsia="zh-CN"/>
          <w14:textFill>
            <w14:solidFill>
              <w14:schemeClr w14:val="tx1"/>
            </w14:solidFill>
          </w14:textFill>
        </w:rPr>
        <w:t>区财政局共同签字验收，由于</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农业农村局年底工作较为繁重，验收工作推迟完成，导致项目验收及时性不足</w:t>
      </w:r>
      <w:r>
        <w:rPr>
          <w:rFonts w:hint="eastAsia"/>
          <w:color w:val="auto"/>
          <w:highlight w:val="none"/>
          <w:lang w:val="en-US" w:eastAsia="zh-CN"/>
        </w:rPr>
        <w:t>。</w:t>
      </w:r>
    </w:p>
    <w:p w14:paraId="254EC5C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黑体" w:hAnsi="黑体" w:eastAsia="黑体" w:cs="黑体"/>
          <w:sz w:val="32"/>
          <w:szCs w:val="40"/>
          <w:lang w:val="en-US" w:eastAsia="zh-CN"/>
        </w:rPr>
        <w:t>五、相关建议</w:t>
      </w:r>
    </w:p>
    <w:p w14:paraId="159F2826">
      <w:pPr>
        <w:bidi w:val="0"/>
        <w:rPr>
          <w:rFonts w:hint="default"/>
          <w:lang w:val="en-US" w:eastAsia="zh-CN"/>
        </w:rPr>
      </w:pPr>
      <w:r>
        <w:rPr>
          <w:rFonts w:hint="eastAsia" w:ascii="Times New Roman" w:hAnsi="Times New Roman"/>
          <w:color w:val="000000" w:themeColor="text1"/>
          <w:highlight w:val="none"/>
          <w:lang w:val="en-US" w:eastAsia="zh-CN"/>
          <w14:textFill>
            <w14:solidFill>
              <w14:schemeClr w14:val="tx1"/>
            </w14:solidFill>
          </w14:textFill>
        </w:rPr>
        <w:t>（一）</w:t>
      </w:r>
      <w:r>
        <w:rPr>
          <w:rFonts w:hint="eastAsia"/>
          <w:color w:val="000000" w:themeColor="text1"/>
          <w:lang w:val="en-US" w:eastAsia="zh-CN"/>
          <w14:textFill>
            <w14:solidFill>
              <w14:schemeClr w14:val="tx1"/>
            </w14:solidFill>
          </w14:textFill>
        </w:rPr>
        <w:t>合理安排工作进度，按时完成验收。</w:t>
      </w:r>
      <w:r>
        <w:rPr>
          <w:rFonts w:hint="eastAsia"/>
          <w:lang w:val="en-US" w:eastAsia="zh-CN"/>
        </w:rPr>
        <w:t>一是建议项目单位</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w:t>
      </w:r>
      <w:r>
        <w:rPr>
          <w:rFonts w:hint="eastAsia"/>
          <w:lang w:val="en-US" w:eastAsia="zh-CN"/>
        </w:rPr>
        <w:t>根据实施方案要求时间节点监督督促建设单位进行建设，并要求建设单位每月或者每季度上报施工进度，由</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w:t>
      </w:r>
      <w:r>
        <w:rPr>
          <w:rFonts w:hint="eastAsia"/>
          <w:lang w:val="en-US" w:eastAsia="zh-CN"/>
        </w:rPr>
        <w:t>整理形成施工进度台账</w:t>
      </w:r>
      <w:r>
        <w:rPr>
          <w:rFonts w:hint="eastAsia"/>
        </w:rPr>
        <w:t>。</w:t>
      </w:r>
      <w:r>
        <w:rPr>
          <w:rFonts w:hint="eastAsia"/>
          <w:lang w:val="en-US" w:eastAsia="zh-CN"/>
        </w:rPr>
        <w:t>如有施工进度缓慢的情况，</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lang w:val="en-US" w:eastAsia="zh-CN"/>
        </w:rPr>
        <w:t>区</w:t>
      </w:r>
      <w:r>
        <w:rPr>
          <w:rFonts w:hint="eastAsia"/>
          <w:color w:val="000000" w:themeColor="text1"/>
          <w:lang w:val="en-US" w:eastAsia="zh-CN"/>
          <w14:textFill>
            <w14:solidFill>
              <w14:schemeClr w14:val="tx1"/>
            </w14:solidFill>
          </w14:textFill>
        </w:rPr>
        <w:t>农业农村局</w:t>
      </w:r>
      <w:r>
        <w:rPr>
          <w:rFonts w:hint="eastAsia"/>
          <w:lang w:val="en-US" w:eastAsia="zh-CN"/>
        </w:rPr>
        <w:t>应行使监督职责，督促加快施工进度，保障施工进度不会过于缓慢。二</w:t>
      </w:r>
      <w:r>
        <w:rPr>
          <w:rFonts w:hint="eastAsia"/>
        </w:rPr>
        <w:t>是建议</w:t>
      </w:r>
      <w:r>
        <w:rPr>
          <w:rFonts w:hint="eastAsia" w:cs="仿宋"/>
          <w:b w:val="0"/>
          <w:bCs w:val="0"/>
          <w:snapToGrid/>
          <w:color w:val="000000" w:themeColor="text1"/>
          <w:kern w:val="2"/>
          <w:sz w:val="32"/>
          <w:szCs w:val="32"/>
          <w:lang w:val="en-US" w:eastAsia="zh-CN" w:bidi="ar-SA"/>
          <w14:textFill>
            <w14:solidFill>
              <w14:schemeClr w14:val="tx1"/>
            </w14:solidFill>
          </w14:textFill>
        </w:rPr>
        <w:t>开封市祥符</w:t>
      </w:r>
      <w:r>
        <w:rPr>
          <w:rFonts w:hint="eastAsia"/>
          <w:color w:val="000000" w:themeColor="text1"/>
          <w:lang w:val="en-US" w:eastAsia="zh-CN"/>
          <w14:textFill>
            <w14:solidFill>
              <w14:schemeClr w14:val="tx1"/>
            </w14:solidFill>
          </w14:textFill>
        </w:rPr>
        <w:t>区农业农村局合理安排好年度内工作内容工作节奏。在建设单位施工完成后，项目单位应按相关政策文件及实施方案要求，在规定时间内完成验收</w:t>
      </w:r>
      <w:r>
        <w:rPr>
          <w:rFonts w:hint="eastAsia" w:ascii="Times New Roman" w:hAnsi="Times New Roman" w:cs="Times New Roman"/>
          <w:color w:val="auto"/>
          <w:highlight w:val="none"/>
          <w:lang w:val="en-US" w:eastAsia="zh-CN"/>
        </w:rPr>
        <w:t>。</w:t>
      </w: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9D94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1CF7E">
                          <w:pPr>
                            <w:pStyle w:val="7"/>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A1CF7E">
                    <w:pPr>
                      <w:pStyle w:val="7"/>
                      <w:rPr>
                        <w:rFonts w:hint="eastAsia" w:ascii="仿宋" w:hAnsi="仿宋" w:eastAsia="仿宋" w:cs="仿宋"/>
                        <w:sz w:val="21"/>
                        <w:szCs w:val="21"/>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4"/>
      <w:lvlText w:val="第%1章　"/>
      <w:lvlJc w:val="left"/>
      <w:pPr>
        <w:tabs>
          <w:tab w:val="left" w:pos="1440"/>
        </w:tabs>
        <w:ind w:left="1470" w:hanging="720"/>
      </w:pPr>
      <w:rPr>
        <w:rFonts w:hint="eastAsia" w:cs="Times New Roman"/>
        <w:sz w:val="32"/>
      </w:rPr>
    </w:lvl>
    <w:lvl w:ilvl="1" w:tentative="0">
      <w:start w:val="1"/>
      <w:numFmt w:val="lowerRoman"/>
      <w:lvlText w:val="(%2)"/>
      <w:lvlJc w:val="left"/>
      <w:pPr>
        <w:tabs>
          <w:tab w:val="left" w:pos="861"/>
        </w:tabs>
        <w:ind w:left="1611" w:hanging="720"/>
      </w:pPr>
      <w:rPr>
        <w:rFonts w:hint="eastAsia" w:cs="Times New Roman"/>
      </w:rPr>
    </w:lvl>
    <w:lvl w:ilvl="2" w:tentative="0">
      <w:start w:val="1"/>
      <w:numFmt w:val="lowerLetter"/>
      <w:lvlText w:val="(%3)"/>
      <w:lvlJc w:val="left"/>
      <w:pPr>
        <w:tabs>
          <w:tab w:val="left" w:pos="1335"/>
        </w:tabs>
        <w:ind w:left="2085" w:hanging="495"/>
      </w:pPr>
      <w:rPr>
        <w:rFonts w:hint="eastAsia" w:cs="Times New Roman"/>
      </w:rPr>
    </w:lvl>
    <w:lvl w:ilvl="3" w:tentative="0">
      <w:start w:val="1"/>
      <w:numFmt w:val="decimal"/>
      <w:lvlText w:val="%4."/>
      <w:lvlJc w:val="left"/>
      <w:pPr>
        <w:tabs>
          <w:tab w:val="left" w:pos="1680"/>
        </w:tabs>
        <w:ind w:left="2430" w:hanging="420"/>
      </w:pPr>
      <w:rPr>
        <w:rFonts w:cs="Times New Roman"/>
      </w:rPr>
    </w:lvl>
    <w:lvl w:ilvl="4" w:tentative="0">
      <w:start w:val="1"/>
      <w:numFmt w:val="lowerLetter"/>
      <w:lvlText w:val="%5)"/>
      <w:lvlJc w:val="left"/>
      <w:pPr>
        <w:tabs>
          <w:tab w:val="left" w:pos="2100"/>
        </w:tabs>
        <w:ind w:left="2850" w:hanging="420"/>
      </w:pPr>
      <w:rPr>
        <w:rFonts w:cs="Times New Roman"/>
      </w:rPr>
    </w:lvl>
    <w:lvl w:ilvl="5" w:tentative="0">
      <w:start w:val="1"/>
      <w:numFmt w:val="lowerRoman"/>
      <w:lvlText w:val="%6."/>
      <w:lvlJc w:val="right"/>
      <w:pPr>
        <w:tabs>
          <w:tab w:val="left" w:pos="2520"/>
        </w:tabs>
        <w:ind w:left="3270" w:hanging="420"/>
      </w:pPr>
      <w:rPr>
        <w:rFonts w:cs="Times New Roman"/>
      </w:rPr>
    </w:lvl>
    <w:lvl w:ilvl="6" w:tentative="0">
      <w:start w:val="1"/>
      <w:numFmt w:val="decimal"/>
      <w:lvlText w:val="%7."/>
      <w:lvlJc w:val="left"/>
      <w:pPr>
        <w:tabs>
          <w:tab w:val="left" w:pos="2940"/>
        </w:tabs>
        <w:ind w:left="3690" w:hanging="420"/>
      </w:pPr>
      <w:rPr>
        <w:rFonts w:cs="Times New Roman"/>
      </w:rPr>
    </w:lvl>
    <w:lvl w:ilvl="7" w:tentative="0">
      <w:start w:val="1"/>
      <w:numFmt w:val="lowerLetter"/>
      <w:lvlText w:val="%8)"/>
      <w:lvlJc w:val="left"/>
      <w:pPr>
        <w:tabs>
          <w:tab w:val="left" w:pos="3360"/>
        </w:tabs>
        <w:ind w:left="4110" w:hanging="420"/>
      </w:pPr>
      <w:rPr>
        <w:rFonts w:cs="Times New Roman"/>
      </w:rPr>
    </w:lvl>
    <w:lvl w:ilvl="8" w:tentative="0">
      <w:start w:val="1"/>
      <w:numFmt w:val="lowerRoman"/>
      <w:lvlText w:val="%9."/>
      <w:lvlJc w:val="right"/>
      <w:pPr>
        <w:tabs>
          <w:tab w:val="left" w:pos="3780"/>
        </w:tabs>
        <w:ind w:left="453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jMDhmMzFmOTZlM2RlM2Q3ZjYwY2Q3MDIzNmM1NDYifQ=="/>
  </w:docVars>
  <w:rsids>
    <w:rsidRoot w:val="00000000"/>
    <w:rsid w:val="03577A2F"/>
    <w:rsid w:val="03990047"/>
    <w:rsid w:val="0BC84002"/>
    <w:rsid w:val="0DFF319D"/>
    <w:rsid w:val="0E4A08BC"/>
    <w:rsid w:val="0E8441D5"/>
    <w:rsid w:val="10080B22"/>
    <w:rsid w:val="142E4599"/>
    <w:rsid w:val="163460AA"/>
    <w:rsid w:val="17996410"/>
    <w:rsid w:val="1BF75317"/>
    <w:rsid w:val="1EC73863"/>
    <w:rsid w:val="21A27164"/>
    <w:rsid w:val="23D20CE0"/>
    <w:rsid w:val="23E72D7E"/>
    <w:rsid w:val="26C326DF"/>
    <w:rsid w:val="27FF5E1C"/>
    <w:rsid w:val="285E03CF"/>
    <w:rsid w:val="292530B3"/>
    <w:rsid w:val="2C534988"/>
    <w:rsid w:val="2C8C29F9"/>
    <w:rsid w:val="2D89733C"/>
    <w:rsid w:val="2EBC6814"/>
    <w:rsid w:val="33022B47"/>
    <w:rsid w:val="363907FC"/>
    <w:rsid w:val="395417C0"/>
    <w:rsid w:val="3A320034"/>
    <w:rsid w:val="3F9B60B7"/>
    <w:rsid w:val="43650541"/>
    <w:rsid w:val="43B65AD0"/>
    <w:rsid w:val="46BF5767"/>
    <w:rsid w:val="48621D83"/>
    <w:rsid w:val="4B2D0092"/>
    <w:rsid w:val="4C9B52CF"/>
    <w:rsid w:val="4DD059E1"/>
    <w:rsid w:val="53424325"/>
    <w:rsid w:val="549F610D"/>
    <w:rsid w:val="554F18E1"/>
    <w:rsid w:val="556E0BC6"/>
    <w:rsid w:val="5E19675F"/>
    <w:rsid w:val="61F33C67"/>
    <w:rsid w:val="646A2293"/>
    <w:rsid w:val="64963088"/>
    <w:rsid w:val="6BF54B38"/>
    <w:rsid w:val="6E0B0643"/>
    <w:rsid w:val="6EB01248"/>
    <w:rsid w:val="6F353258"/>
    <w:rsid w:val="767C7BC4"/>
    <w:rsid w:val="77246C9A"/>
    <w:rsid w:val="785C7CED"/>
    <w:rsid w:val="7CD726DE"/>
    <w:rsid w:val="7D0E6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80" w:firstLineChars="200"/>
      <w:jc w:val="both"/>
    </w:pPr>
    <w:rPr>
      <w:rFonts w:ascii="Times New Roman" w:hAnsi="Times New Roman" w:eastAsia="仿宋" w:cs="仿宋"/>
      <w:kern w:val="2"/>
      <w:sz w:val="32"/>
      <w:szCs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rPr>
      <w:rFonts w:ascii="Times New Roman" w:hAnsi="Times New Roman" w:eastAsia="仿宋"/>
    </w:rPr>
  </w:style>
  <w:style w:type="paragraph" w:styleId="3">
    <w:name w:val="Body Text"/>
    <w:basedOn w:val="1"/>
    <w:next w:val="4"/>
    <w:qFormat/>
    <w:uiPriority w:val="0"/>
    <w:pPr>
      <w:spacing w:after="120" w:afterLines="0" w:afterAutospacing="0"/>
    </w:pPr>
  </w:style>
  <w:style w:type="paragraph" w:styleId="4">
    <w:name w:val="Body Text 2"/>
    <w:basedOn w:val="1"/>
    <w:qFormat/>
    <w:uiPriority w:val="99"/>
    <w:pPr>
      <w:numPr>
        <w:ilvl w:val="0"/>
        <w:numId w:val="1"/>
      </w:numPr>
      <w:spacing w:beforeLines="50" w:line="336" w:lineRule="auto"/>
      <w:ind w:firstLine="0"/>
    </w:pPr>
    <w:rPr>
      <w:rFonts w:eastAsia="黑体"/>
      <w:lang w:val="en-GB"/>
    </w:rPr>
  </w:style>
  <w:style w:type="paragraph" w:styleId="5">
    <w:name w:val="Body Text First Indent 2"/>
    <w:basedOn w:val="6"/>
    <w:qFormat/>
    <w:uiPriority w:val="0"/>
    <w:pPr>
      <w:ind w:firstLine="420" w:firstLineChars="200"/>
    </w:p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封面大标题"/>
    <w:basedOn w:val="1"/>
    <w:qFormat/>
    <w:uiPriority w:val="0"/>
    <w:pPr>
      <w:spacing w:line="360" w:lineRule="auto"/>
      <w:ind w:firstLine="0" w:firstLineChars="0"/>
      <w:jc w:val="center"/>
    </w:pPr>
    <w:rPr>
      <w:rFonts w:ascii="仿宋_GB2312" w:hAnsi="仿宋_GB2312" w:eastAsia="黑体"/>
      <w:bCs/>
      <w:color w:val="auto"/>
      <w:sz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1457</Words>
  <Characters>1562</Characters>
  <Lines>0</Lines>
  <Paragraphs>0</Paragraphs>
  <TotalTime>5</TotalTime>
  <ScaleCrop>false</ScaleCrop>
  <LinksUpToDate>false</LinksUpToDate>
  <CharactersWithSpaces>1565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2021-11-02T06:30:00Z</dcterms:created>
  <dc:creator>Administrator</dc:creator>
  <cp:lastModifiedBy>鹏</cp:lastModifiedBy>
  <dcterms:modified xsi:type="dcterms:W3CDTF">2025-02-11T09:30:17Z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7478F1E00907471C8423A2CEF526D138</vt:lpwstr>
  </property>
  <property fmtid="{D5CDD505-2E9C-101B-9397-08002B2CF9AE}" pid="4" name="KSOTemplateDocerSaveRecord">
    <vt:lpwstr>eyJoZGlkIjoiNzNhMzFlYTRiYWE1ODk3ZTdkZDZmYTQ3YjgwOTE0NzIiLCJ1c2VySWQiOiI2Njk2MDMzMjYifQ==</vt:lpwstr>
  </property>
</Properties>
</file>