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E0E385">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0" w:firstLineChars="0"/>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2023年高素质农民培育项目</w:t>
      </w:r>
      <w:bookmarkStart w:id="3" w:name="_GoBack"/>
      <w:bookmarkEnd w:id="3"/>
    </w:p>
    <w:p w14:paraId="6D4EC792">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0" w:firstLineChars="0"/>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财政重点绩效评价报告</w:t>
      </w:r>
    </w:p>
    <w:p w14:paraId="7921ED1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一、项目概况</w:t>
      </w:r>
    </w:p>
    <w:p w14:paraId="5FB08AE7">
      <w:pPr>
        <w:bidi w:val="0"/>
        <w:rPr>
          <w:rFonts w:hint="eastAsia"/>
          <w:lang w:val="en-US" w:eastAsia="zh-CN"/>
        </w:rPr>
      </w:pPr>
      <w:bookmarkStart w:id="0" w:name="OLE_LINK2"/>
      <w:r>
        <w:rPr>
          <w:rFonts w:hint="eastAsia"/>
          <w:lang w:val="en-US" w:eastAsia="zh-CN"/>
        </w:rPr>
        <w:t>根据中央、省、市关于2023年高素质农民培育工作的实施方案，以及《开封市财政局 开封市农业农村局关于下达2023年中央财政农业经营主体能力提升资金预算的通知》，开封市祥符区农业农村局开展实施2023年高素质农民培育项目，并制定《开封市祥符区2023年高素质农民培育工作实施方案》，以扎实推进祥符区高素质农民培育工作，加快形成与产业需求相适应、与农村发展相协调的高素质农民队伍，夯实稳粮扩油人才支撑，全面提升农民素质素养。</w:t>
      </w:r>
    </w:p>
    <w:bookmarkEnd w:id="0"/>
    <w:p w14:paraId="21EF025F">
      <w:pPr>
        <w:rPr>
          <w:rFonts w:hint="default"/>
          <w:lang w:val="en-US" w:eastAsia="zh-CN"/>
        </w:rPr>
      </w:pPr>
      <w:r>
        <w:rPr>
          <w:rFonts w:hint="eastAsia"/>
          <w:lang w:val="en-US" w:eastAsia="zh-CN"/>
        </w:rPr>
        <w:t>项目主要实施内容是</w:t>
      </w:r>
      <w:r>
        <w:rPr>
          <w:rFonts w:hint="eastAsia" w:ascii="Times New Roman" w:hAnsi="Times New Roman"/>
          <w:color w:val="auto"/>
          <w:lang w:val="en-US" w:eastAsia="zh-CN"/>
        </w:rPr>
        <w:t>面向家庭农场主、农民合作社带头人和种养大户</w:t>
      </w:r>
      <w:r>
        <w:rPr>
          <w:rFonts w:hint="eastAsia"/>
          <w:color w:val="auto"/>
          <w:lang w:val="en-US" w:eastAsia="zh-CN"/>
        </w:rPr>
        <w:t>，</w:t>
      </w:r>
      <w:r>
        <w:rPr>
          <w:rFonts w:hint="eastAsia" w:ascii="Times New Roman" w:hAnsi="Times New Roman"/>
          <w:color w:val="auto"/>
          <w:lang w:val="en-US" w:eastAsia="zh-CN"/>
        </w:rPr>
        <w:t>统筹</w:t>
      </w:r>
      <w:r>
        <w:rPr>
          <w:rFonts w:hint="eastAsia"/>
          <w:color w:val="auto"/>
          <w:lang w:val="en-US" w:eastAsia="zh-CN"/>
        </w:rPr>
        <w:t>培训</w:t>
      </w:r>
      <w:r>
        <w:rPr>
          <w:rFonts w:hint="eastAsia" w:ascii="Times New Roman" w:hAnsi="Times New Roman"/>
          <w:color w:val="auto"/>
          <w:lang w:val="en-US" w:eastAsia="zh-CN"/>
        </w:rPr>
        <w:t>新型农业经营和服务主体带头人</w:t>
      </w:r>
      <w:r>
        <w:rPr>
          <w:rFonts w:hint="eastAsia"/>
          <w:color w:val="auto"/>
          <w:lang w:val="en-US" w:eastAsia="zh-CN"/>
        </w:rPr>
        <w:t>（</w:t>
      </w:r>
      <w:r>
        <w:rPr>
          <w:rFonts w:hint="eastAsia" w:ascii="Times New Roman" w:hAnsi="Times New Roman"/>
          <w:color w:val="auto"/>
          <w:lang w:val="en-US" w:eastAsia="zh-CN"/>
        </w:rPr>
        <w:t>农业经理人</w:t>
      </w:r>
      <w:r>
        <w:rPr>
          <w:rFonts w:hint="eastAsia"/>
          <w:color w:val="auto"/>
          <w:lang w:val="en-US" w:eastAsia="zh-CN"/>
        </w:rPr>
        <w:t>）</w:t>
      </w:r>
      <w:r>
        <w:rPr>
          <w:rFonts w:hint="eastAsia" w:ascii="Times New Roman" w:hAnsi="Times New Roman"/>
          <w:color w:val="auto"/>
          <w:lang w:val="en-US" w:eastAsia="zh-CN"/>
        </w:rPr>
        <w:t>、种养加销能手、农村创业创新者、乡村治理及社会事业发展带头人等各类高素质农民600人。其中，新型农业经营和服务主体带头人培育200人，专业生产型和技能服务型培训400人。</w:t>
      </w:r>
      <w:r>
        <w:rPr>
          <w:rFonts w:hint="eastAsia"/>
          <w:color w:val="auto"/>
          <w:lang w:val="en-US" w:eastAsia="zh-CN"/>
        </w:rPr>
        <w:t>经营管理型培训</w:t>
      </w:r>
      <w:r>
        <w:rPr>
          <w:rFonts w:hint="eastAsia" w:ascii="Times New Roman" w:hAnsi="Times New Roman"/>
          <w:color w:val="auto"/>
          <w:lang w:val="en-US" w:eastAsia="zh-CN"/>
        </w:rPr>
        <w:t>年度线下累计培训时间不少于12天，线上学习时间不少于30学时，全年跟踪服务。专业生产型和技能服务型</w:t>
      </w:r>
      <w:r>
        <w:rPr>
          <w:rFonts w:hint="eastAsia"/>
          <w:color w:val="auto"/>
          <w:lang w:val="en-US" w:eastAsia="zh-CN"/>
        </w:rPr>
        <w:t>培训</w:t>
      </w:r>
      <w:r>
        <w:rPr>
          <w:rFonts w:hint="eastAsia" w:ascii="Times New Roman" w:hAnsi="Times New Roman"/>
          <w:color w:val="auto"/>
          <w:lang w:val="en-US" w:eastAsia="zh-CN"/>
        </w:rPr>
        <w:t>年度线下累计培训时间不少于5天，线上学习不少于8学时</w:t>
      </w:r>
      <w:r>
        <w:rPr>
          <w:rFonts w:hint="eastAsia"/>
          <w:color w:val="auto"/>
          <w:lang w:val="en-US" w:eastAsia="zh-CN"/>
        </w:rPr>
        <w:t>。</w:t>
      </w:r>
    </w:p>
    <w:p w14:paraId="6D91FEEA">
      <w:pPr>
        <w:bidi w:val="0"/>
        <w:rPr>
          <w:rFonts w:hint="eastAsia"/>
          <w:lang w:val="en-US" w:eastAsia="zh-CN"/>
        </w:rPr>
      </w:pPr>
      <w:r>
        <w:rPr>
          <w:rFonts w:hint="eastAsia"/>
          <w:lang w:val="en-US" w:eastAsia="zh-CN"/>
        </w:rPr>
        <w:t>项目总资金110万元，截至</w:t>
      </w:r>
      <w:r>
        <w:rPr>
          <w:rFonts w:hint="eastAsia" w:cs="仿宋"/>
          <w:color w:val="auto"/>
          <w:sz w:val="32"/>
          <w:highlight w:val="none"/>
          <w:lang w:val="en-US" w:eastAsia="zh-CN"/>
        </w:rPr>
        <w:t>2024</w:t>
      </w:r>
      <w:r>
        <w:rPr>
          <w:rFonts w:hint="eastAsia" w:ascii="Times New Roman" w:hAnsi="Times New Roman" w:cs="仿宋"/>
          <w:color w:val="auto"/>
          <w:sz w:val="32"/>
          <w:highlight w:val="none"/>
          <w:lang w:val="en-US" w:eastAsia="zh-CN"/>
        </w:rPr>
        <w:t>年</w:t>
      </w:r>
      <w:r>
        <w:rPr>
          <w:rFonts w:hint="eastAsia" w:cs="仿宋"/>
          <w:color w:val="auto"/>
          <w:sz w:val="32"/>
          <w:highlight w:val="none"/>
          <w:lang w:val="en-US" w:eastAsia="zh-CN"/>
        </w:rPr>
        <w:t>2</w:t>
      </w:r>
      <w:r>
        <w:rPr>
          <w:rFonts w:hint="eastAsia" w:ascii="Times New Roman" w:hAnsi="Times New Roman" w:cs="仿宋"/>
          <w:color w:val="auto"/>
          <w:sz w:val="32"/>
          <w:highlight w:val="none"/>
          <w:lang w:val="en-US" w:eastAsia="zh-CN"/>
        </w:rPr>
        <w:t>月</w:t>
      </w:r>
      <w:r>
        <w:rPr>
          <w:rFonts w:hint="eastAsia" w:cs="仿宋"/>
          <w:color w:val="auto"/>
          <w:sz w:val="32"/>
          <w:highlight w:val="none"/>
          <w:lang w:val="en-US" w:eastAsia="zh-CN"/>
        </w:rPr>
        <w:t>29</w:t>
      </w:r>
      <w:r>
        <w:rPr>
          <w:rFonts w:hint="eastAsia" w:ascii="Times New Roman" w:hAnsi="Times New Roman" w:cs="仿宋"/>
          <w:color w:val="auto"/>
          <w:sz w:val="32"/>
          <w:highlight w:val="none"/>
          <w:lang w:val="en-US" w:eastAsia="zh-CN"/>
        </w:rPr>
        <w:t>日</w:t>
      </w:r>
      <w:r>
        <w:rPr>
          <w:rFonts w:hint="eastAsia"/>
          <w:lang w:val="en-US" w:eastAsia="zh-CN"/>
        </w:rPr>
        <w:t>，实际到位资金110万元，实际支付110万元。</w:t>
      </w:r>
    </w:p>
    <w:p w14:paraId="2BD30AC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二、评价结论</w:t>
      </w:r>
    </w:p>
    <w:p w14:paraId="1CFE9054">
      <w:pPr>
        <w:bidi w:val="0"/>
        <w:rPr>
          <w:rFonts w:hint="eastAsia" w:ascii="仿宋_GB2312" w:hAnsi="仿宋_GB2312" w:eastAsia="仿宋_GB2312" w:cs="仿宋_GB2312"/>
          <w:szCs w:val="40"/>
          <w:lang w:val="en-US" w:eastAsia="zh-CN"/>
        </w:rPr>
      </w:pPr>
      <w:r>
        <w:rPr>
          <w:rFonts w:hint="eastAsia"/>
          <w:lang w:val="en-US" w:eastAsia="zh-CN"/>
        </w:rPr>
        <w:t>2023年高素质农民培育项目绩效评价综合得分90.6分，评价等级为“优”。</w:t>
      </w:r>
    </w:p>
    <w:p w14:paraId="1924974B">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黑体" w:hAnsi="黑体" w:eastAsia="黑体" w:cs="黑体"/>
          <w:sz w:val="32"/>
          <w:szCs w:val="40"/>
          <w:highlight w:val="none"/>
          <w:lang w:val="en-US" w:eastAsia="zh-CN"/>
        </w:rPr>
      </w:pPr>
      <w:r>
        <w:rPr>
          <w:rFonts w:hint="eastAsia" w:ascii="黑体" w:hAnsi="黑体" w:eastAsia="黑体" w:cs="黑体"/>
          <w:sz w:val="32"/>
          <w:szCs w:val="40"/>
          <w:highlight w:val="none"/>
          <w:lang w:val="en-US" w:eastAsia="zh-CN"/>
        </w:rPr>
        <w:t>三、主要经验做法</w:t>
      </w:r>
    </w:p>
    <w:p w14:paraId="292BBA48">
      <w:pPr>
        <w:bidi w:val="0"/>
        <w:rPr>
          <w:rFonts w:hint="eastAsia"/>
          <w:lang w:val="en-US" w:eastAsia="zh-CN"/>
        </w:rPr>
      </w:pPr>
      <w:r>
        <w:rPr>
          <w:rFonts w:hint="eastAsia"/>
          <w:lang w:val="en-US" w:eastAsia="zh-CN"/>
        </w:rPr>
        <w:t>（一）推进</w:t>
      </w:r>
      <w:r>
        <w:rPr>
          <w:rFonts w:hint="default"/>
          <w:lang w:val="en-US" w:eastAsia="zh-CN"/>
        </w:rPr>
        <w:t>新型农业经营服务主体经营者</w:t>
      </w:r>
      <w:r>
        <w:rPr>
          <w:rFonts w:hint="eastAsia"/>
          <w:lang w:val="en-US" w:eastAsia="zh-CN"/>
        </w:rPr>
        <w:t>、</w:t>
      </w:r>
      <w:r>
        <w:rPr>
          <w:rFonts w:hint="default"/>
          <w:lang w:val="en-US" w:eastAsia="zh-CN"/>
        </w:rPr>
        <w:t>专业种养加能手</w:t>
      </w:r>
      <w:r>
        <w:rPr>
          <w:rFonts w:hint="eastAsia"/>
          <w:lang w:val="en-US" w:eastAsia="zh-CN"/>
        </w:rPr>
        <w:t>线上线下融合培训，实现线上学习记录全程可追溯。</w:t>
      </w:r>
    </w:p>
    <w:p w14:paraId="1A103916">
      <w:pPr>
        <w:bidi w:val="0"/>
        <w:rPr>
          <w:rFonts w:hint="eastAsia" w:ascii="仿宋_GB2312" w:hAnsi="仿宋_GB2312" w:eastAsia="仿宋_GB2312" w:cs="仿宋_GB2312"/>
          <w:szCs w:val="40"/>
          <w:lang w:val="en-US" w:eastAsia="zh-CN"/>
        </w:rPr>
      </w:pPr>
      <w:r>
        <w:rPr>
          <w:rFonts w:hint="eastAsia"/>
          <w:lang w:val="en-US" w:eastAsia="zh-CN"/>
        </w:rPr>
        <w:t>（二）进行线上满意度测评，掌握培训效果，参训农民满意度较高。</w:t>
      </w:r>
      <w:r>
        <w:rPr>
          <w:rFonts w:hint="default"/>
          <w:lang w:val="en-US" w:eastAsia="zh-CN"/>
        </w:rPr>
        <w:t>每个班级培训结束</w:t>
      </w:r>
      <w:r>
        <w:rPr>
          <w:rFonts w:hint="eastAsia"/>
          <w:lang w:val="en-US" w:eastAsia="zh-CN"/>
        </w:rPr>
        <w:t>后由参训学员线上</w:t>
      </w:r>
      <w:r>
        <w:rPr>
          <w:rFonts w:hint="default"/>
          <w:lang w:val="en-US" w:eastAsia="zh-CN"/>
        </w:rPr>
        <w:t>进行满意度测评，</w:t>
      </w:r>
      <w:r>
        <w:rPr>
          <w:rFonts w:hint="eastAsia"/>
          <w:lang w:val="en-US" w:eastAsia="zh-CN"/>
        </w:rPr>
        <w:t>让培训机构</w:t>
      </w:r>
      <w:r>
        <w:rPr>
          <w:rFonts w:hint="default"/>
          <w:lang w:val="en-US" w:eastAsia="zh-CN"/>
        </w:rPr>
        <w:t>随时掌握每个班的培训效果，</w:t>
      </w:r>
      <w:r>
        <w:rPr>
          <w:rFonts w:hint="eastAsia"/>
          <w:lang w:val="en-US" w:eastAsia="zh-CN"/>
        </w:rPr>
        <w:t>不断完善工作流程，提升</w:t>
      </w:r>
      <w:r>
        <w:rPr>
          <w:rFonts w:hint="default"/>
          <w:lang w:val="en-US" w:eastAsia="zh-CN"/>
        </w:rPr>
        <w:t>高素质农民教育培训工作</w:t>
      </w:r>
      <w:r>
        <w:rPr>
          <w:rFonts w:hint="eastAsia"/>
          <w:lang w:val="en-US" w:eastAsia="zh-CN"/>
        </w:rPr>
        <w:t>效率</w:t>
      </w:r>
      <w:r>
        <w:rPr>
          <w:rFonts w:hint="default"/>
          <w:lang w:val="en-US" w:eastAsia="zh-CN"/>
        </w:rPr>
        <w:t>。</w:t>
      </w:r>
      <w:r>
        <w:rPr>
          <w:rFonts w:hint="eastAsia"/>
          <w:lang w:val="en-US" w:eastAsia="zh-CN"/>
        </w:rPr>
        <w:t>根据线上满意度测评及评价组开展的满意度调查，参训农民对该项目的培训满意度较高。</w:t>
      </w:r>
    </w:p>
    <w:p w14:paraId="30EE75E3">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四、存在的主要问题</w:t>
      </w:r>
    </w:p>
    <w:p w14:paraId="0F0304F1">
      <w:pPr>
        <w:bidi w:val="0"/>
        <w:rPr>
          <w:rFonts w:hint="eastAsia"/>
          <w:lang w:val="en-US" w:eastAsia="zh-CN"/>
        </w:rPr>
      </w:pPr>
      <w:bookmarkStart w:id="1" w:name="_Toc24716"/>
      <w:r>
        <w:rPr>
          <w:rFonts w:hint="eastAsia"/>
          <w:lang w:val="en-US" w:eastAsia="zh-CN"/>
        </w:rPr>
        <w:t>（一）</w:t>
      </w:r>
      <w:bookmarkEnd w:id="1"/>
      <w:r>
        <w:rPr>
          <w:rFonts w:hint="eastAsia"/>
          <w:lang w:val="en-US" w:eastAsia="zh-CN"/>
        </w:rPr>
        <w:t>前期需求调研报告部分内容不完整，调研方式有待更新。前期需求</w:t>
      </w:r>
      <w:r>
        <w:rPr>
          <w:rFonts w:hint="default"/>
          <w:lang w:val="en-US" w:eastAsia="zh-CN"/>
        </w:rPr>
        <w:t>调研报告内容分布比较合理，</w:t>
      </w:r>
      <w:r>
        <w:rPr>
          <w:rFonts w:hint="eastAsia"/>
          <w:lang w:val="en-US" w:eastAsia="zh-CN"/>
        </w:rPr>
        <w:t>但</w:t>
      </w:r>
      <w:r>
        <w:rPr>
          <w:rFonts w:hint="default"/>
          <w:lang w:val="en-US" w:eastAsia="zh-CN"/>
        </w:rPr>
        <w:t>项目调研报告中祥符区农民培训意愿的内容较为粗略，仅简单表述为</w:t>
      </w:r>
      <w:r>
        <w:rPr>
          <w:rFonts w:hint="eastAsia"/>
          <w:lang w:val="en-US" w:eastAsia="zh-CN"/>
        </w:rPr>
        <w:t>“</w:t>
      </w:r>
      <w:r>
        <w:rPr>
          <w:rFonts w:hint="default"/>
          <w:lang w:val="en-US" w:eastAsia="zh-CN"/>
        </w:rPr>
        <w:t>培训意愿强烈</w:t>
      </w:r>
      <w:r>
        <w:rPr>
          <w:rFonts w:hint="eastAsia"/>
          <w:lang w:val="en-US" w:eastAsia="zh-CN"/>
        </w:rPr>
        <w:t>”</w:t>
      </w:r>
      <w:r>
        <w:rPr>
          <w:rFonts w:hint="default"/>
          <w:lang w:val="en-US" w:eastAsia="zh-CN"/>
        </w:rPr>
        <w:t>，但没有相关数据支撑</w:t>
      </w:r>
      <w:r>
        <w:rPr>
          <w:rFonts w:hint="eastAsia"/>
          <w:lang w:val="en-US" w:eastAsia="zh-CN"/>
        </w:rPr>
        <w:t>。</w:t>
      </w:r>
    </w:p>
    <w:p w14:paraId="358B9810">
      <w:pPr>
        <w:rPr>
          <w:rFonts w:hint="eastAsia"/>
          <w:lang w:val="en-US" w:eastAsia="zh-CN"/>
        </w:rPr>
      </w:pPr>
      <w:bookmarkStart w:id="2" w:name="_Toc20956"/>
      <w:r>
        <w:rPr>
          <w:rFonts w:hint="eastAsia"/>
          <w:lang w:val="en-US" w:eastAsia="zh-CN"/>
        </w:rPr>
        <w:t>（二）</w:t>
      </w:r>
      <w:bookmarkEnd w:id="2"/>
      <w:r>
        <w:rPr>
          <w:rFonts w:hint="eastAsia"/>
          <w:lang w:val="en-US" w:eastAsia="zh-CN"/>
        </w:rPr>
        <w:t>实施方案内容个性化不足，未结合当地实际编制实施方案。</w:t>
      </w:r>
      <w:r>
        <w:rPr>
          <w:rFonts w:hint="default"/>
          <w:lang w:val="en-US" w:eastAsia="zh-CN"/>
        </w:rPr>
        <w:t>根据访谈，祥符区属于大豆、玉米等粮油作物主要产区，不属于豇豆等作物的主要产区，无须开展</w:t>
      </w:r>
      <w:r>
        <w:rPr>
          <w:rFonts w:hint="eastAsia"/>
          <w:lang w:val="en-US" w:eastAsia="zh-CN"/>
        </w:rPr>
        <w:t>“</w:t>
      </w:r>
      <w:r>
        <w:rPr>
          <w:rFonts w:hint="default"/>
          <w:lang w:val="en-US" w:eastAsia="zh-CN"/>
        </w:rPr>
        <w:t>豇豆质量安全控制培训行动</w:t>
      </w:r>
      <w:r>
        <w:rPr>
          <w:rFonts w:hint="eastAsia"/>
          <w:lang w:val="en-US" w:eastAsia="zh-CN"/>
        </w:rPr>
        <w:t>”</w:t>
      </w:r>
      <w:r>
        <w:rPr>
          <w:rFonts w:hint="default"/>
          <w:lang w:val="en-US" w:eastAsia="zh-CN"/>
        </w:rPr>
        <w:t>；此外，因专业农机手培训在祥符区当地计划由其他单位进行培训，项目单位未计划开展</w:t>
      </w:r>
      <w:r>
        <w:rPr>
          <w:rFonts w:hint="eastAsia"/>
          <w:lang w:val="en-US" w:eastAsia="zh-CN"/>
        </w:rPr>
        <w:t>“</w:t>
      </w:r>
      <w:r>
        <w:rPr>
          <w:rFonts w:hint="default"/>
          <w:lang w:val="en-US" w:eastAsia="zh-CN"/>
        </w:rPr>
        <w:t>专业农机手培训行动</w:t>
      </w:r>
      <w:r>
        <w:rPr>
          <w:rFonts w:hint="eastAsia"/>
          <w:lang w:val="en-US" w:eastAsia="zh-CN"/>
        </w:rPr>
        <w:t>”</w:t>
      </w:r>
      <w:r>
        <w:rPr>
          <w:rFonts w:hint="default"/>
          <w:lang w:val="en-US" w:eastAsia="zh-CN"/>
        </w:rPr>
        <w:t>，但实施方案中仍将其列入专项行动中，不符合祥符区地方实际与当年计划</w:t>
      </w:r>
      <w:r>
        <w:rPr>
          <w:rFonts w:hint="eastAsia"/>
          <w:lang w:val="en-US" w:eastAsia="zh-CN"/>
        </w:rPr>
        <w:t>。</w:t>
      </w:r>
    </w:p>
    <w:p w14:paraId="07D9D16B">
      <w:pPr>
        <w:rPr>
          <w:rFonts w:hint="eastAsia"/>
          <w:lang w:val="en-US" w:eastAsia="zh-CN"/>
        </w:rPr>
      </w:pPr>
      <w:r>
        <w:rPr>
          <w:rFonts w:hint="eastAsia"/>
          <w:lang w:val="en-US" w:eastAsia="zh-CN"/>
        </w:rPr>
        <w:t>（三）项目制度执行不到位，项目精细化管理水平有待提升。一是未组织对培育教材的意识形态审查。二是班级请假制度执行不到位，</w:t>
      </w:r>
      <w:r>
        <w:rPr>
          <w:rFonts w:hint="default"/>
          <w:lang w:val="en-US" w:eastAsia="zh-CN"/>
        </w:rPr>
        <w:t>未严格</w:t>
      </w:r>
      <w:r>
        <w:rPr>
          <w:rFonts w:hint="eastAsia"/>
          <w:lang w:val="en-US" w:eastAsia="zh-CN"/>
        </w:rPr>
        <w:t>执行“学员因特殊情况，需按规定办理请假手续”这一请假制度。三是参训学员入库信息存在与往年不一致的情况。评价组对比各年申报表发现，存在同一人不同年度填报的“文化程度”不一致的情况。</w:t>
      </w:r>
    </w:p>
    <w:p w14:paraId="37CACA28">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40"/>
          <w:lang w:val="en-US" w:eastAsia="zh-CN"/>
        </w:rPr>
      </w:pPr>
      <w:r>
        <w:rPr>
          <w:rFonts w:hint="eastAsia" w:ascii="黑体" w:hAnsi="黑体" w:eastAsia="黑体" w:cs="黑体"/>
          <w:sz w:val="32"/>
          <w:szCs w:val="40"/>
          <w:lang w:val="en-US" w:eastAsia="zh-CN"/>
        </w:rPr>
        <w:t>五、相关建议</w:t>
      </w:r>
    </w:p>
    <w:p w14:paraId="3D882B3B">
      <w:pPr>
        <w:bidi w:val="0"/>
        <w:rPr>
          <w:rFonts w:hint="eastAsia"/>
          <w:lang w:val="en-US" w:eastAsia="zh-CN"/>
        </w:rPr>
      </w:pPr>
      <w:r>
        <w:rPr>
          <w:rFonts w:hint="eastAsia"/>
          <w:lang w:val="en-US" w:eastAsia="zh-CN"/>
        </w:rPr>
        <w:t>（一）探索新的需求调研方式，为前期需求调研提供数据支撑。一是建议项目单位在后续实施相关项目时，在需求调研期间，能够在入户访谈时加强记录；二是建议项目单位在入户访谈的基础上探索出能够准确反映本地对高素质农民培育需求情况的调研方式。</w:t>
      </w:r>
    </w:p>
    <w:p w14:paraId="1B82486D">
      <w:pPr>
        <w:bidi w:val="0"/>
        <w:rPr>
          <w:rFonts w:hint="eastAsia"/>
          <w:lang w:val="en-US" w:eastAsia="zh-CN"/>
        </w:rPr>
      </w:pPr>
      <w:r>
        <w:rPr>
          <w:rFonts w:hint="eastAsia"/>
          <w:lang w:val="en-US" w:eastAsia="zh-CN"/>
        </w:rPr>
        <w:t>（二）根据当地实际编制实施方案，为实际工作提供现实指导。建议项目单位在保留上级实施方案中通用要求的基础上，应结合本地区实际及当年计划，对当年本地区负责的工作任务进行明确、细化，为当地项目的实施提供有现实意义的指导。</w:t>
      </w:r>
    </w:p>
    <w:p w14:paraId="10C968B0">
      <w:pPr>
        <w:bidi w:val="0"/>
        <w:rPr>
          <w:rFonts w:hint="default" w:ascii="仿宋_GB2312" w:hAnsi="仿宋_GB2312" w:eastAsia="仿宋_GB2312" w:cs="仿宋_GB2312"/>
          <w:sz w:val="32"/>
          <w:szCs w:val="40"/>
          <w:lang w:val="en-US" w:eastAsia="zh-CN"/>
        </w:rPr>
      </w:pPr>
      <w:r>
        <w:rPr>
          <w:rFonts w:hint="eastAsia"/>
          <w:lang w:val="en-US" w:eastAsia="zh-CN"/>
        </w:rPr>
        <w:t>（三）严格落实业务管理制度，提高项目精细化管理水平。一是建议项目单位在开展同类型的培训项目时，在涉及培训教材的采购与使用时，应组织对培训教材进行意识形态审查。二是建议项目单位严格落实请假制度，保管好学员请假手续，避免培训课堂的随意性。三是</w:t>
      </w:r>
      <w:r>
        <w:rPr>
          <w:rFonts w:hint="eastAsia"/>
          <w:color w:val="auto"/>
          <w:lang w:val="en-US" w:eastAsia="zh-CN"/>
        </w:rPr>
        <w:t>建议</w:t>
      </w:r>
      <w:r>
        <w:rPr>
          <w:rFonts w:hint="eastAsia"/>
          <w:lang w:val="en-US" w:eastAsia="zh-CN"/>
        </w:rPr>
        <w:t>工作人员在填报培育学员申报表时，应与学员本人进行核查与确认，必要时结合其他单位对人员信息进行确认，确保参训学员入库信息填报的准确率。</w:t>
      </w: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25B24">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30C5B6">
                          <w:pPr>
                            <w:pStyle w:val="8"/>
                            <w:rPr>
                              <w:rFonts w:hint="eastAsia" w:ascii="仿宋" w:hAnsi="仿宋" w:eastAsia="仿宋" w:cs="仿宋"/>
                              <w:sz w:val="21"/>
                              <w:szCs w:val="21"/>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30C5B6">
                    <w:pPr>
                      <w:pStyle w:val="8"/>
                      <w:rPr>
                        <w:rFonts w:hint="eastAsia" w:ascii="仿宋" w:hAnsi="仿宋" w:eastAsia="仿宋" w:cs="仿宋"/>
                        <w:sz w:val="21"/>
                        <w:szCs w:val="21"/>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216F0"/>
    <w:multiLevelType w:val="multilevel"/>
    <w:tmpl w:val="1DA216F0"/>
    <w:lvl w:ilvl="0" w:tentative="0">
      <w:start w:val="1"/>
      <w:numFmt w:val="chineseCountingThousand"/>
      <w:pStyle w:val="4"/>
      <w:lvlText w:val="第%1章　"/>
      <w:lvlJc w:val="left"/>
      <w:pPr>
        <w:tabs>
          <w:tab w:val="left" w:pos="1440"/>
        </w:tabs>
        <w:ind w:left="1470" w:hanging="720"/>
      </w:pPr>
      <w:rPr>
        <w:rFonts w:hint="eastAsia" w:cs="Times New Roman"/>
        <w:sz w:val="32"/>
      </w:rPr>
    </w:lvl>
    <w:lvl w:ilvl="1" w:tentative="0">
      <w:start w:val="1"/>
      <w:numFmt w:val="lowerRoman"/>
      <w:lvlText w:val="(%2)"/>
      <w:lvlJc w:val="left"/>
      <w:pPr>
        <w:tabs>
          <w:tab w:val="left" w:pos="861"/>
        </w:tabs>
        <w:ind w:left="1611" w:hanging="720"/>
      </w:pPr>
      <w:rPr>
        <w:rFonts w:hint="eastAsia" w:cs="Times New Roman"/>
      </w:rPr>
    </w:lvl>
    <w:lvl w:ilvl="2" w:tentative="0">
      <w:start w:val="1"/>
      <w:numFmt w:val="lowerLetter"/>
      <w:lvlText w:val="(%3)"/>
      <w:lvlJc w:val="left"/>
      <w:pPr>
        <w:tabs>
          <w:tab w:val="left" w:pos="1335"/>
        </w:tabs>
        <w:ind w:left="2085" w:hanging="495"/>
      </w:pPr>
      <w:rPr>
        <w:rFonts w:hint="eastAsia" w:cs="Times New Roman"/>
      </w:rPr>
    </w:lvl>
    <w:lvl w:ilvl="3" w:tentative="0">
      <w:start w:val="1"/>
      <w:numFmt w:val="decimal"/>
      <w:lvlText w:val="%4."/>
      <w:lvlJc w:val="left"/>
      <w:pPr>
        <w:tabs>
          <w:tab w:val="left" w:pos="1680"/>
        </w:tabs>
        <w:ind w:left="2430" w:hanging="420"/>
      </w:pPr>
      <w:rPr>
        <w:rFonts w:cs="Times New Roman"/>
      </w:rPr>
    </w:lvl>
    <w:lvl w:ilvl="4" w:tentative="0">
      <w:start w:val="1"/>
      <w:numFmt w:val="lowerLetter"/>
      <w:lvlText w:val="%5)"/>
      <w:lvlJc w:val="left"/>
      <w:pPr>
        <w:tabs>
          <w:tab w:val="left" w:pos="2100"/>
        </w:tabs>
        <w:ind w:left="2850" w:hanging="420"/>
      </w:pPr>
      <w:rPr>
        <w:rFonts w:cs="Times New Roman"/>
      </w:rPr>
    </w:lvl>
    <w:lvl w:ilvl="5" w:tentative="0">
      <w:start w:val="1"/>
      <w:numFmt w:val="lowerRoman"/>
      <w:lvlText w:val="%6."/>
      <w:lvlJc w:val="right"/>
      <w:pPr>
        <w:tabs>
          <w:tab w:val="left" w:pos="2520"/>
        </w:tabs>
        <w:ind w:left="3270" w:hanging="420"/>
      </w:pPr>
      <w:rPr>
        <w:rFonts w:cs="Times New Roman"/>
      </w:rPr>
    </w:lvl>
    <w:lvl w:ilvl="6" w:tentative="0">
      <w:start w:val="1"/>
      <w:numFmt w:val="decimal"/>
      <w:lvlText w:val="%7."/>
      <w:lvlJc w:val="left"/>
      <w:pPr>
        <w:tabs>
          <w:tab w:val="left" w:pos="2940"/>
        </w:tabs>
        <w:ind w:left="3690" w:hanging="420"/>
      </w:pPr>
      <w:rPr>
        <w:rFonts w:cs="Times New Roman"/>
      </w:rPr>
    </w:lvl>
    <w:lvl w:ilvl="7" w:tentative="0">
      <w:start w:val="1"/>
      <w:numFmt w:val="lowerLetter"/>
      <w:lvlText w:val="%8)"/>
      <w:lvlJc w:val="left"/>
      <w:pPr>
        <w:tabs>
          <w:tab w:val="left" w:pos="3360"/>
        </w:tabs>
        <w:ind w:left="4110" w:hanging="420"/>
      </w:pPr>
      <w:rPr>
        <w:rFonts w:cs="Times New Roman"/>
      </w:rPr>
    </w:lvl>
    <w:lvl w:ilvl="8" w:tentative="0">
      <w:start w:val="1"/>
      <w:numFmt w:val="lowerRoman"/>
      <w:lvlText w:val="%9."/>
      <w:lvlJc w:val="right"/>
      <w:pPr>
        <w:tabs>
          <w:tab w:val="left" w:pos="3780"/>
        </w:tabs>
        <w:ind w:left="453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4YWZjY2Q4OGJiMmRlN2YyMmJlMDA4ZWQ3YjU2YzkifQ=="/>
    <w:docVar w:name="KSO_WPS_MARK_KEY" w:val="0e68e4cf-f536-447d-b5e2-4b7005dc4cab"/>
  </w:docVars>
  <w:rsids>
    <w:rsidRoot w:val="00000000"/>
    <w:rsid w:val="03990047"/>
    <w:rsid w:val="05DE7F94"/>
    <w:rsid w:val="077D5FE4"/>
    <w:rsid w:val="07950B26"/>
    <w:rsid w:val="08EE6740"/>
    <w:rsid w:val="0BC84002"/>
    <w:rsid w:val="0CC71781"/>
    <w:rsid w:val="0E4A08BC"/>
    <w:rsid w:val="0EBD2E3C"/>
    <w:rsid w:val="10080B22"/>
    <w:rsid w:val="12AA078F"/>
    <w:rsid w:val="142E4599"/>
    <w:rsid w:val="147C49D4"/>
    <w:rsid w:val="163460AA"/>
    <w:rsid w:val="1BF75317"/>
    <w:rsid w:val="1D1D719C"/>
    <w:rsid w:val="1E5F5CBE"/>
    <w:rsid w:val="1FBC383E"/>
    <w:rsid w:val="20796DDF"/>
    <w:rsid w:val="21A27164"/>
    <w:rsid w:val="23D20CE0"/>
    <w:rsid w:val="23E72D7E"/>
    <w:rsid w:val="27FF5E1C"/>
    <w:rsid w:val="292530B3"/>
    <w:rsid w:val="2A6B7798"/>
    <w:rsid w:val="2C8C29F9"/>
    <w:rsid w:val="2D89733C"/>
    <w:rsid w:val="2EBC6814"/>
    <w:rsid w:val="2F656EAC"/>
    <w:rsid w:val="33022B47"/>
    <w:rsid w:val="33753436"/>
    <w:rsid w:val="35B069A7"/>
    <w:rsid w:val="363907FC"/>
    <w:rsid w:val="3A320034"/>
    <w:rsid w:val="3F9B60B7"/>
    <w:rsid w:val="43650541"/>
    <w:rsid w:val="437B1677"/>
    <w:rsid w:val="460D5750"/>
    <w:rsid w:val="46BD0F24"/>
    <w:rsid w:val="46BF5767"/>
    <w:rsid w:val="48621D83"/>
    <w:rsid w:val="48CC18F2"/>
    <w:rsid w:val="4ACA76A4"/>
    <w:rsid w:val="4B2D0092"/>
    <w:rsid w:val="4C9B52CF"/>
    <w:rsid w:val="4CE70AA9"/>
    <w:rsid w:val="53F266B1"/>
    <w:rsid w:val="5B8D6CBF"/>
    <w:rsid w:val="5D462162"/>
    <w:rsid w:val="6005151A"/>
    <w:rsid w:val="61F33C67"/>
    <w:rsid w:val="646A2293"/>
    <w:rsid w:val="64963088"/>
    <w:rsid w:val="6AE0505D"/>
    <w:rsid w:val="6BF54B38"/>
    <w:rsid w:val="6E0B0643"/>
    <w:rsid w:val="6EB01248"/>
    <w:rsid w:val="6F353258"/>
    <w:rsid w:val="745443C6"/>
    <w:rsid w:val="74793E2D"/>
    <w:rsid w:val="755503F6"/>
    <w:rsid w:val="767C7BC4"/>
    <w:rsid w:val="77246C9A"/>
    <w:rsid w:val="785C7CED"/>
    <w:rsid w:val="787C5579"/>
    <w:rsid w:val="7D0E6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880" w:firstLineChars="200"/>
      <w:jc w:val="both"/>
    </w:pPr>
    <w:rPr>
      <w:rFonts w:ascii="Times New Roman" w:hAnsi="Times New Roman" w:eastAsia="仿宋" w:cs="仿宋"/>
      <w:kern w:val="2"/>
      <w:sz w:val="32"/>
      <w:szCs w:val="32"/>
      <w:lang w:val="en-US" w:eastAsia="zh-CN" w:bidi="ar-SA"/>
    </w:rPr>
  </w:style>
  <w:style w:type="paragraph" w:styleId="7">
    <w:name w:val="heading 3"/>
    <w:basedOn w:val="1"/>
    <w:next w:val="1"/>
    <w:unhideWhenUsed/>
    <w:qFormat/>
    <w:uiPriority w:val="0"/>
    <w:pPr>
      <w:ind w:firstLine="640"/>
      <w:outlineLvl w:val="2"/>
    </w:pPr>
    <w:rPr>
      <w:rFonts w:ascii="Times New Roman" w:hAnsi="Times New Roman"/>
      <w:b/>
      <w:bCs/>
      <w:snapToGrid w:val="0"/>
      <w:kern w:val="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rPr>
      <w:rFonts w:ascii="Times New Roman" w:hAnsi="Times New Roman" w:eastAsia="仿宋"/>
    </w:rPr>
  </w:style>
  <w:style w:type="paragraph" w:styleId="3">
    <w:name w:val="Body Text"/>
    <w:basedOn w:val="1"/>
    <w:next w:val="4"/>
    <w:qFormat/>
    <w:uiPriority w:val="0"/>
    <w:pPr>
      <w:spacing w:after="120" w:afterLines="0" w:afterAutospacing="0"/>
    </w:pPr>
  </w:style>
  <w:style w:type="paragraph" w:styleId="4">
    <w:name w:val="Body Text 2"/>
    <w:basedOn w:val="1"/>
    <w:next w:val="3"/>
    <w:qFormat/>
    <w:uiPriority w:val="99"/>
    <w:pPr>
      <w:numPr>
        <w:ilvl w:val="0"/>
        <w:numId w:val="1"/>
      </w:numPr>
      <w:spacing w:beforeLines="50" w:line="336" w:lineRule="auto"/>
      <w:ind w:firstLine="0"/>
    </w:pPr>
    <w:rPr>
      <w:rFonts w:eastAsia="黑体"/>
      <w:lang w:val="en-GB"/>
    </w:rPr>
  </w:style>
  <w:style w:type="paragraph" w:styleId="5">
    <w:name w:val="Body Text First Indent 2"/>
    <w:basedOn w:val="6"/>
    <w:next w:val="1"/>
    <w:qFormat/>
    <w:uiPriority w:val="0"/>
    <w:pPr>
      <w:ind w:firstLine="420" w:firstLineChars="200"/>
    </w:pPr>
  </w:style>
  <w:style w:type="paragraph" w:styleId="6">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封面大标题"/>
    <w:basedOn w:val="1"/>
    <w:qFormat/>
    <w:uiPriority w:val="0"/>
    <w:pPr>
      <w:spacing w:line="360" w:lineRule="auto"/>
      <w:ind w:firstLine="0" w:firstLineChars="0"/>
      <w:jc w:val="center"/>
    </w:pPr>
    <w:rPr>
      <w:rFonts w:ascii="仿宋_GB2312" w:hAnsi="仿宋_GB2312" w:eastAsia="黑体"/>
      <w:bCs/>
      <w:color w:val="auto"/>
      <w:sz w:val="5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1547</Words>
  <Characters>1586</Characters>
  <Lines>0</Lines>
  <Paragraphs>0</Paragraphs>
  <TotalTime>1</TotalTime>
  <ScaleCrop>false</ScaleCrop>
  <LinksUpToDate>false</LinksUpToDate>
  <CharactersWithSpaces>1587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2021-11-02T06:30:00Z</dcterms:created>
  <dc:creator>Administrator</dc:creator>
  <cp:lastModifiedBy>鹏</cp:lastModifiedBy>
  <dcterms:modified xsi:type="dcterms:W3CDTF">2025-02-11T09:34:36Z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7478F1E00907471C8423A2CEF526D138</vt:lpwstr>
  </property>
  <property fmtid="{D5CDD505-2E9C-101B-9397-08002B2CF9AE}" pid="4" name="KSOTemplateDocerSaveRecord">
    <vt:lpwstr>eyJoZGlkIjoiNzNhMzFlYTRiYWE1ODk3ZTdkZDZmYTQ3YjgwOTE0NzIiLCJ1c2VySWQiOiI2Njk2MDMzMjYifQ==</vt:lpwstr>
  </property>
</Properties>
</file>