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right="0" w:rightChars="0" w:firstLine="0" w:firstLineChars="0"/>
        <w:jc w:val="center"/>
        <w:textAlignment w:val="auto"/>
        <w:rPr>
          <w:rFonts w:hint="eastAsia" w:ascii="黑体" w:hAnsi="黑体" w:eastAsia="黑体" w:cs="黑体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sz w:val="44"/>
          <w:szCs w:val="44"/>
          <w:lang w:val="en-US" w:eastAsia="zh-CN"/>
        </w:rPr>
        <w:t>开封中原教城西姜寨城中村（一期）改造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right="0" w:rightChars="0" w:firstLine="0" w:firstLineChars="0"/>
        <w:jc w:val="center"/>
        <w:textAlignment w:val="auto"/>
        <w:rPr>
          <w:rFonts w:hint="eastAsia" w:ascii="黑体" w:hAnsi="黑体" w:eastAsia="黑体" w:cs="黑体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sz w:val="44"/>
          <w:szCs w:val="44"/>
          <w:lang w:val="en-US" w:eastAsia="zh-CN"/>
        </w:rPr>
        <w:t>项目专项债券资金绩效评价报告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both"/>
        <w:textAlignment w:val="auto"/>
        <w:rPr>
          <w:rFonts w:hint="eastAsia" w:ascii="黑体" w:hAnsi="黑体" w:eastAsia="黑体" w:cs="黑体"/>
          <w:sz w:val="32"/>
          <w:szCs w:val="40"/>
          <w:lang w:val="en-US" w:eastAsia="zh-CN"/>
        </w:rPr>
      </w:pPr>
      <w:bookmarkStart w:id="0" w:name="_GoBack"/>
      <w:bookmarkEnd w:id="0"/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both"/>
        <w:textAlignment w:val="auto"/>
        <w:rPr>
          <w:rFonts w:hint="eastAsia" w:ascii="黑体" w:hAnsi="黑体" w:eastAsia="黑体" w:cs="黑体"/>
          <w:sz w:val="32"/>
          <w:szCs w:val="40"/>
          <w:lang w:val="en-US" w:eastAsia="zh-CN"/>
        </w:rPr>
      </w:pPr>
      <w:r>
        <w:rPr>
          <w:rFonts w:hint="eastAsia" w:ascii="黑体" w:hAnsi="黑体" w:eastAsia="黑体" w:cs="黑体"/>
          <w:sz w:val="32"/>
          <w:szCs w:val="40"/>
          <w:lang w:val="en-US" w:eastAsia="zh-CN"/>
        </w:rPr>
        <w:t>一、项目概况</w:t>
      </w:r>
    </w:p>
    <w:p>
      <w:pPr>
        <w:rPr>
          <w:rFonts w:hint="eastAsia" w:ascii="Times New Roman" w:hAnsi="Times New Roman" w:eastAsia="仿宋"/>
          <w:color w:val="auto"/>
          <w:lang w:val="en-US" w:eastAsia="zh-CN"/>
        </w:rPr>
      </w:pPr>
      <w:r>
        <w:rPr>
          <w:rFonts w:hint="eastAsia" w:ascii="Times New Roman" w:hAnsi="Times New Roman" w:eastAsia="仿宋"/>
          <w:color w:val="auto"/>
          <w:lang w:val="en-US" w:eastAsia="zh-CN"/>
        </w:rPr>
        <w:t>随着开封市经济社会的快速发展和城镇化进程的加快，棚户区已成为影响和制约全市城市加快发展、统筹发展、和谐发展的重要因素。本次征收范围内多为两层建筑，区域内房屋密度高、建设使用年限久、人均建筑面积小、采光通风条件差、基础设施不完善，卫生条件差，各种管线杂乱无章，排水排污不畅，垃圾成灾，街巷狭窄、拥挤，存在严重消防隐患，村民居住环境十分令人堪忧，不仅严重影响了城市的美观，而且阻碍了城市化进程，制约了城市道路及基础设施的发展。为改善人居环境、加快新型城镇化建设，开封市产城融合示范区管理委员会提出了本项目的建设。</w:t>
      </w:r>
    </w:p>
    <w:p>
      <w:pPr>
        <w:rPr>
          <w:rFonts w:hint="eastAsia" w:ascii="Times New Roman" w:hAnsi="Times New Roman" w:eastAsia="仿宋"/>
          <w:color w:val="auto"/>
          <w:lang w:val="en-US" w:eastAsia="zh-CN"/>
        </w:rPr>
      </w:pPr>
      <w:r>
        <w:rPr>
          <w:rFonts w:hint="eastAsia" w:ascii="Times New Roman" w:hAnsi="Times New Roman" w:eastAsia="仿宋"/>
          <w:color w:val="auto"/>
          <w:lang w:val="en-US" w:eastAsia="zh-CN"/>
        </w:rPr>
        <w:t>项目建设总用地面积63213.65㎡（94.82亩），总建筑面积107463.21㎡，包括地上总建筑面积82177.75㎡，其中：住宅72316.42㎡，配套商业4108.89㎡，物业管理及其他建筑面积5752.44㎡；地下总建筑面积25285.46㎡。配套建设道路、绿化、给排水、电力、燃气、消防等设施。</w:t>
      </w:r>
    </w:p>
    <w:p>
      <w:pPr>
        <w:rPr>
          <w:rFonts w:hint="eastAsia" w:ascii="Times New Roman" w:hAnsi="Times New Roman" w:eastAsia="仿宋"/>
          <w:color w:val="auto"/>
          <w:lang w:val="en-US" w:eastAsia="zh-CN"/>
        </w:rPr>
      </w:pPr>
      <w:r>
        <w:rPr>
          <w:rFonts w:hint="eastAsia" w:ascii="Times New Roman" w:hAnsi="Times New Roman" w:eastAsia="仿宋"/>
          <w:color w:val="auto"/>
          <w:lang w:val="en-US" w:eastAsia="zh-CN"/>
        </w:rPr>
        <w:t>项目总投资50298.15万元，其中34000.00万元通过申请专项债券筹集，占总投资的67.60%，剩余16298.15万元由实施单位自筹，占总投资的32.40%。截止</w:t>
      </w:r>
      <w:r>
        <w:rPr>
          <w:rFonts w:hint="eastAsia"/>
          <w:color w:val="auto"/>
          <w:lang w:val="en-US" w:eastAsia="zh-CN"/>
        </w:rPr>
        <w:t>评价日</w:t>
      </w:r>
      <w:r>
        <w:rPr>
          <w:rFonts w:hint="eastAsia" w:ascii="Times New Roman" w:hAnsi="Times New Roman" w:eastAsia="仿宋"/>
          <w:color w:val="auto"/>
          <w:lang w:val="en-US" w:eastAsia="zh-CN"/>
        </w:rPr>
        <w:t>，发行地方政府专项债券到位26600.00万元，累计资金投入29044.81万元，当年完成支出占年度预算83.92%</w:t>
      </w:r>
      <w:r>
        <w:rPr>
          <w:rFonts w:hint="eastAsia"/>
          <w:color w:val="auto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both"/>
        <w:textAlignment w:val="auto"/>
        <w:rPr>
          <w:rFonts w:hint="eastAsia" w:ascii="黑体" w:hAnsi="黑体" w:eastAsia="黑体" w:cs="黑体"/>
          <w:sz w:val="32"/>
          <w:szCs w:val="40"/>
          <w:lang w:val="en-US" w:eastAsia="zh-CN"/>
        </w:rPr>
      </w:pPr>
      <w:r>
        <w:rPr>
          <w:rFonts w:hint="eastAsia" w:ascii="黑体" w:hAnsi="黑体" w:eastAsia="黑体" w:cs="黑体"/>
          <w:sz w:val="32"/>
          <w:szCs w:val="40"/>
          <w:lang w:val="en-US" w:eastAsia="zh-CN"/>
        </w:rPr>
        <w:t>二、评价结论</w:t>
      </w:r>
    </w:p>
    <w:p>
      <w:pPr>
        <w:bidi w:val="0"/>
        <w:rPr>
          <w:rFonts w:hint="eastAsia" w:ascii="仿宋_GB2312" w:hAnsi="仿宋_GB2312" w:eastAsia="仿宋_GB2312" w:cs="仿宋_GB2312"/>
          <w:szCs w:val="40"/>
          <w:lang w:val="en-US" w:eastAsia="zh-CN"/>
        </w:rPr>
      </w:pPr>
      <w:r>
        <w:rPr>
          <w:rFonts w:hint="eastAsia"/>
          <w:lang w:val="en-US" w:eastAsia="zh-CN"/>
        </w:rPr>
        <w:t>运用评价组设计的指标体系及评分标准，本项目绩效评价得分80.4分，评价等级为“良”。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both"/>
        <w:textAlignment w:val="auto"/>
        <w:rPr>
          <w:rFonts w:hint="default" w:ascii="黑体" w:hAnsi="黑体" w:eastAsia="黑体" w:cs="黑体"/>
          <w:sz w:val="32"/>
          <w:szCs w:val="40"/>
          <w:highlight w:val="none"/>
          <w:lang w:val="en-US" w:eastAsia="zh-CN"/>
        </w:rPr>
      </w:pPr>
      <w:r>
        <w:rPr>
          <w:rFonts w:hint="eastAsia" w:ascii="黑体" w:hAnsi="黑体" w:eastAsia="黑体" w:cs="黑体"/>
          <w:sz w:val="32"/>
          <w:szCs w:val="40"/>
          <w:highlight w:val="none"/>
          <w:lang w:val="en-US" w:eastAsia="zh-CN"/>
        </w:rPr>
        <w:t>三、主要经验做法</w:t>
      </w:r>
    </w:p>
    <w:p>
      <w:pPr>
        <w:bidi w:val="0"/>
        <w:rPr>
          <w:rFonts w:hint="eastAsia" w:ascii="仿宋_GB2312" w:hAnsi="仿宋_GB2312" w:eastAsia="仿宋_GB2312" w:cs="仿宋_GB2312"/>
          <w:szCs w:val="40"/>
          <w:lang w:val="en-US" w:eastAsia="zh-CN"/>
        </w:rPr>
      </w:pPr>
      <w:r>
        <w:rPr>
          <w:rFonts w:hint="eastAsia" w:ascii="仿宋_GB2312" w:hAnsi="仿宋_GB2312" w:eastAsia="仿宋_GB2312" w:cs="仿宋_GB2312"/>
          <w:szCs w:val="40"/>
          <w:lang w:val="en-US" w:eastAsia="zh-CN"/>
        </w:rPr>
        <w:t>截至2023年12月31日，项目施工建设总体完工60%，其中主体：12#楼5层墙筋施工，13#楼4层墙筋施工；其余楼栋已封顶；砌体:已封顶楼栋全部完成；内粉:整体完成30%；外立面：外墙保温整体完成40%，涂料完成20%，门窗框及固定玻璃完成。4栋楼地库：地库顶板防水及保护层完成80%，地库顶板批白完成40%，消防主管正在安装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both"/>
        <w:textAlignment w:val="auto"/>
        <w:rPr>
          <w:rFonts w:hint="eastAsia" w:ascii="黑体" w:hAnsi="黑体" w:eastAsia="黑体" w:cs="黑体"/>
          <w:sz w:val="32"/>
          <w:szCs w:val="40"/>
          <w:lang w:val="en-US" w:eastAsia="zh-CN"/>
        </w:rPr>
      </w:pPr>
      <w:r>
        <w:rPr>
          <w:rFonts w:hint="eastAsia" w:ascii="黑体" w:hAnsi="黑体" w:eastAsia="黑体" w:cs="黑体"/>
          <w:sz w:val="32"/>
          <w:szCs w:val="40"/>
          <w:lang w:val="en-US" w:eastAsia="zh-CN"/>
        </w:rPr>
        <w:t>四、存在的主要问题</w:t>
      </w:r>
    </w:p>
    <w:p>
      <w:pPr>
        <w:bidi w:val="0"/>
        <w:rPr>
          <w:rFonts w:hint="eastAsia" w:ascii="仿宋_GB2312" w:hAnsi="仿宋_GB2312" w:eastAsia="仿宋_GB2312" w:cs="仿宋_GB2312"/>
          <w:szCs w:val="40"/>
          <w:lang w:val="en-US" w:eastAsia="zh-CN"/>
        </w:rPr>
      </w:pPr>
      <w:r>
        <w:rPr>
          <w:rFonts w:hint="eastAsia" w:ascii="仿宋_GB2312" w:hAnsi="仿宋_GB2312" w:eastAsia="仿宋_GB2312" w:cs="仿宋_GB2312"/>
          <w:szCs w:val="40"/>
          <w:lang w:val="en-US" w:eastAsia="zh-CN"/>
        </w:rPr>
        <w:t>（一）部分绩效目标不合理，指标不明确。项目预算申报时绩效指标中效益指标过于简单，部分绩效目标未填写，绩效目标缺失；绩效指标不明确，指标过于简单，项目绩效指标体系不完整不具体。</w:t>
      </w:r>
    </w:p>
    <w:p>
      <w:pPr>
        <w:bidi w:val="0"/>
        <w:rPr>
          <w:rFonts w:hint="eastAsia" w:ascii="仿宋_GB2312" w:hAnsi="仿宋_GB2312" w:eastAsia="仿宋_GB2312" w:cs="仿宋_GB2312"/>
          <w:szCs w:val="40"/>
          <w:lang w:val="en-US" w:eastAsia="zh-CN"/>
        </w:rPr>
      </w:pPr>
      <w:r>
        <w:rPr>
          <w:rFonts w:hint="eastAsia" w:ascii="仿宋_GB2312" w:hAnsi="仿宋_GB2312" w:eastAsia="仿宋_GB2312" w:cs="仿宋_GB2312"/>
          <w:szCs w:val="40"/>
          <w:lang w:val="en-US" w:eastAsia="zh-CN"/>
        </w:rPr>
        <w:t>（二）项目资本金未足额到位。该项目建设是一项有自身收益的公益性项目，社会效益显著，所需资金通过财政资金以及发行专项债券解决。项目总投资为50298.15万元，专项债券34000万元占比67.60%。截至2023年12月31日，实际到位专项债券资金26600万元，政府财政配套资金未到位。</w:t>
      </w:r>
    </w:p>
    <w:p>
      <w:pPr>
        <w:bidi w:val="0"/>
        <w:rPr>
          <w:rFonts w:hint="eastAsia" w:ascii="仿宋_GB2312" w:hAnsi="仿宋_GB2312" w:eastAsia="仿宋_GB2312" w:cs="仿宋_GB2312"/>
          <w:szCs w:val="40"/>
          <w:lang w:val="en-US" w:eastAsia="zh-CN"/>
        </w:rPr>
      </w:pPr>
      <w:r>
        <w:rPr>
          <w:rFonts w:hint="eastAsia" w:ascii="仿宋_GB2312" w:hAnsi="仿宋_GB2312" w:eastAsia="仿宋_GB2312" w:cs="仿宋_GB2312"/>
          <w:szCs w:val="40"/>
          <w:lang w:val="en-US" w:eastAsia="zh-CN"/>
        </w:rPr>
        <w:t>（三）项目建设进度未达到预期。本项目计划建设周期540天（其中设计周期60天、施工工期480天），计划开工日期2022年9月13日，计划完工时间2024年3月5日。截至2023年12月31日，整体完工60%。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</w:pPr>
      <w:r>
        <w:rPr>
          <w:rFonts w:hint="eastAsia" w:ascii="黑体" w:hAnsi="黑体" w:eastAsia="黑体" w:cs="黑体"/>
          <w:sz w:val="32"/>
          <w:szCs w:val="40"/>
          <w:lang w:val="en-US" w:eastAsia="zh-CN"/>
        </w:rPr>
        <w:t>五、相关建议</w:t>
      </w:r>
    </w:p>
    <w:p>
      <w:pPr>
        <w:bidi w:val="0"/>
        <w:rPr>
          <w:rFonts w:hint="default" w:ascii="仿宋_GB2312" w:hAnsi="仿宋_GB2312" w:eastAsia="仿宋_GB2312" w:cs="仿宋_GB2312"/>
          <w:sz w:val="32"/>
          <w:szCs w:val="40"/>
          <w:lang w:val="en-US" w:eastAsia="zh-CN"/>
        </w:rPr>
      </w:pPr>
      <w:r>
        <w:rPr>
          <w:rFonts w:hint="default" w:ascii="仿宋_GB2312" w:hAnsi="仿宋_GB2312" w:eastAsia="仿宋_GB2312" w:cs="仿宋_GB2312"/>
          <w:sz w:val="32"/>
          <w:szCs w:val="40"/>
          <w:lang w:val="en-US" w:eastAsia="zh-CN"/>
        </w:rPr>
        <w:t>（一）完善绩效指标，加强项目绩效管理</w:t>
      </w:r>
      <w:r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  <w:t>。</w:t>
      </w:r>
      <w:r>
        <w:rPr>
          <w:rFonts w:hint="default" w:ascii="仿宋_GB2312" w:hAnsi="仿宋_GB2312" w:eastAsia="仿宋_GB2312" w:cs="仿宋_GB2312"/>
          <w:sz w:val="32"/>
          <w:szCs w:val="40"/>
          <w:lang w:val="en-US" w:eastAsia="zh-CN"/>
        </w:rPr>
        <w:t>绩效目标管理是绩效管理的基础和依据，预算单位应加强绩效目标的编制和审核，根据实际情况设置合理的指标值，使得年度绩效指标清晰、细化、可衡量，完善绩效指标体系。制定绩效管理工作制度，提高绩效管理水平，强化支出责任，不断提高资金使用效率。</w:t>
      </w:r>
    </w:p>
    <w:p>
      <w:pPr>
        <w:bidi w:val="0"/>
        <w:rPr>
          <w:rFonts w:hint="default" w:ascii="仿宋_GB2312" w:hAnsi="仿宋_GB2312" w:eastAsia="仿宋_GB2312" w:cs="仿宋_GB2312"/>
          <w:sz w:val="32"/>
          <w:szCs w:val="40"/>
          <w:lang w:val="en-US" w:eastAsia="zh-CN"/>
        </w:rPr>
      </w:pPr>
      <w:r>
        <w:rPr>
          <w:rFonts w:hint="default" w:ascii="仿宋_GB2312" w:hAnsi="仿宋_GB2312" w:eastAsia="仿宋_GB2312" w:cs="仿宋_GB2312"/>
          <w:sz w:val="32"/>
          <w:szCs w:val="40"/>
          <w:lang w:val="en-US"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  <w:t>二</w:t>
      </w:r>
      <w:r>
        <w:rPr>
          <w:rFonts w:hint="default" w:ascii="仿宋_GB2312" w:hAnsi="仿宋_GB2312" w:eastAsia="仿宋_GB2312" w:cs="仿宋_GB2312"/>
          <w:sz w:val="32"/>
          <w:szCs w:val="40"/>
          <w:lang w:val="en-US" w:eastAsia="zh-CN"/>
        </w:rPr>
        <w:t>）认真履行合同，确保资金到位</w:t>
      </w:r>
      <w:r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  <w:t>。</w:t>
      </w:r>
      <w:r>
        <w:rPr>
          <w:rFonts w:hint="default" w:ascii="仿宋_GB2312" w:hAnsi="仿宋_GB2312" w:eastAsia="仿宋_GB2312" w:cs="仿宋_GB2312"/>
          <w:sz w:val="32"/>
          <w:szCs w:val="40"/>
          <w:lang w:val="en-US" w:eastAsia="zh-CN"/>
        </w:rPr>
        <w:t>针对项目资金及财务管理，建议项目公司按照合同要求，筹措资金，确保及时到位，优化资金结构，降低工程成本；</w:t>
      </w:r>
      <w:r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  <w:t>其次</w:t>
      </w:r>
      <w:r>
        <w:rPr>
          <w:rFonts w:hint="default" w:ascii="仿宋_GB2312" w:hAnsi="仿宋_GB2312" w:eastAsia="仿宋_GB2312" w:cs="仿宋_GB2312"/>
          <w:sz w:val="32"/>
          <w:szCs w:val="40"/>
          <w:lang w:val="en-US" w:eastAsia="zh-CN"/>
        </w:rPr>
        <w:t>应加强财务管理工作，根据《企业会计准则》及相关规定，结合行业特征和项目特点，制定明确、恰当的会计政策，制定严谨、科学的流程制度，采取可行有效的管理手段，提高资金使用效率，控制建设成本，提质增效，开源节流，为项目如期实现目标提供资金保障。</w:t>
      </w:r>
    </w:p>
    <w:p>
      <w:pPr>
        <w:bidi w:val="0"/>
        <w:rPr>
          <w:rFonts w:hint="default" w:ascii="仿宋_GB2312" w:hAnsi="仿宋_GB2312" w:eastAsia="仿宋_GB2312" w:cs="仿宋_GB2312"/>
          <w:sz w:val="32"/>
          <w:szCs w:val="40"/>
          <w:lang w:val="en-US" w:eastAsia="zh-CN"/>
        </w:rPr>
      </w:pPr>
      <w:r>
        <w:rPr>
          <w:rFonts w:hint="default" w:ascii="仿宋_GB2312" w:hAnsi="仿宋_GB2312" w:eastAsia="仿宋_GB2312" w:cs="仿宋_GB2312"/>
          <w:sz w:val="32"/>
          <w:szCs w:val="40"/>
          <w:lang w:val="en-US" w:eastAsia="zh-CN"/>
        </w:rPr>
        <w:t>（三）强化协调力度，加快工程进度</w:t>
      </w:r>
      <w:r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  <w:t>。</w:t>
      </w:r>
      <w:r>
        <w:rPr>
          <w:rFonts w:hint="default" w:ascii="仿宋_GB2312" w:hAnsi="仿宋_GB2312" w:eastAsia="仿宋_GB2312" w:cs="仿宋_GB2312"/>
          <w:sz w:val="32"/>
          <w:szCs w:val="40"/>
          <w:lang w:val="en-US" w:eastAsia="zh-CN"/>
        </w:rPr>
        <w:t>截至评价日，工程进度不够理想，无法达到预期成效，建议项目公司主动争取，迎难而上，倒排工期，不等不靠，梳理任务清单，补齐工作短板；同时建议实施机构进一步明确目标，加大工作力度，加强监督监管，控制投资成本，为早日完成建设期任务奠定坚实基础。</w:t>
      </w:r>
    </w:p>
    <w:p>
      <w:pPr>
        <w:bidi w:val="0"/>
        <w:rPr>
          <w:rFonts w:hint="default" w:ascii="仿宋_GB2312" w:hAnsi="仿宋_GB2312" w:eastAsia="仿宋_GB2312" w:cs="仿宋_GB2312"/>
          <w:sz w:val="32"/>
          <w:szCs w:val="40"/>
          <w:lang w:val="en-US" w:eastAsia="zh-CN"/>
        </w:rPr>
      </w:pPr>
      <w:r>
        <w:rPr>
          <w:rFonts w:hint="default" w:ascii="仿宋_GB2312" w:hAnsi="仿宋_GB2312" w:eastAsia="仿宋_GB2312" w:cs="仿宋_GB2312"/>
          <w:sz w:val="32"/>
          <w:szCs w:val="40"/>
          <w:lang w:val="en-US" w:eastAsia="zh-CN"/>
        </w:rPr>
        <w:t>（四）提前谋划，及早布局，健全偿债保障机制</w:t>
      </w:r>
      <w:r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  <w:t>。</w:t>
      </w:r>
      <w:r>
        <w:rPr>
          <w:rFonts w:hint="default" w:ascii="仿宋_GB2312" w:hAnsi="仿宋_GB2312" w:eastAsia="仿宋_GB2312" w:cs="仿宋_GB2312"/>
          <w:sz w:val="32"/>
          <w:szCs w:val="40"/>
          <w:lang w:val="en-US" w:eastAsia="zh-CN"/>
        </w:rPr>
        <w:t>做好偿债保障机制的优化与实践，以项目为基础设置债券发行期限，以保证偿债期限与项目收益相对接，保证各项工作开展现阶段的发展需求，并建立偿债准备金专户与偿债风险基金，结合债券本息、收益等因素开展分析，明确其完全不匹配与收益提前实现、收益延后情况的影响，以此为基础结合实际情况开展优化、探索相对应的偿债机制与偿债资金来源，以降低整体风险。结合实际情况来建立专项债券项目收入征缴与监管机制，合理对现阶段的应偿还债券本息开展分析，控制偿债风险增大。优化债贷组合项目，做好分账核算，建立完善的风险分担机制，加强专项债券项目资产管理意识，项目封闭运作，强化偿债责任，建立健全的风险处理机制，开展风险防控。</w:t>
      </w:r>
    </w:p>
    <w:sectPr>
      <w:footerReference r:id="rId3" w:type="default"/>
      <w:pgSz w:w="11906" w:h="16838"/>
      <w:pgMar w:top="1440" w:right="1800" w:bottom="1440" w:left="180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10"/>
                            <w:rPr>
                              <w:rFonts w:hint="eastAsia" w:ascii="仿宋" w:hAnsi="仿宋" w:eastAsia="仿宋" w:cs="仿宋"/>
                              <w:sz w:val="21"/>
                              <w:szCs w:val="21"/>
                            </w:rPr>
                          </w:pPr>
                          <w:r>
                            <w:rPr>
                              <w:rFonts w:hint="eastAsia" w:ascii="仿宋" w:hAnsi="仿宋" w:eastAsia="仿宋" w:cs="仿宋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仿宋" w:hAnsi="仿宋" w:eastAsia="仿宋" w:cs="仿宋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仿宋" w:hAnsi="仿宋" w:eastAsia="仿宋" w:cs="仿宋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仿宋" w:hAnsi="仿宋" w:eastAsia="仿宋" w:cs="仿宋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="仿宋" w:hAnsi="仿宋" w:eastAsia="仿宋" w:cs="仿宋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s0lY7tAAAAAFAQAADwAAAAAAAAABACAAAAAi&#10;AAAAZHJzL2Rvd25yZXYueG1sUEsBAhQAFAAAAAgAh07iQErbzf8SAgAAEwQAAA4AAAAAAAAAAQAg&#10;AAAAHwEAAGRycy9lMm9Eb2MueG1sUEsFBgAAAAAGAAYAWQEAAKM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10"/>
                      <w:rPr>
                        <w:rFonts w:hint="eastAsia" w:ascii="仿宋" w:hAnsi="仿宋" w:eastAsia="仿宋" w:cs="仿宋"/>
                        <w:sz w:val="21"/>
                        <w:szCs w:val="21"/>
                      </w:rPr>
                    </w:pPr>
                    <w:r>
                      <w:rPr>
                        <w:rFonts w:hint="eastAsia" w:ascii="仿宋" w:hAnsi="仿宋" w:eastAsia="仿宋" w:cs="仿宋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仿宋" w:hAnsi="仿宋" w:eastAsia="仿宋" w:cs="仿宋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仿宋" w:hAnsi="仿宋" w:eastAsia="仿宋" w:cs="仿宋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仿宋" w:hAnsi="仿宋" w:eastAsia="仿宋" w:cs="仿宋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="仿宋" w:hAnsi="仿宋" w:eastAsia="仿宋" w:cs="仿宋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A216F0"/>
    <w:multiLevelType w:val="multilevel"/>
    <w:tmpl w:val="1DA216F0"/>
    <w:lvl w:ilvl="0" w:tentative="0">
      <w:start w:val="1"/>
      <w:numFmt w:val="chineseCountingThousand"/>
      <w:pStyle w:val="4"/>
      <w:lvlText w:val="第%1章　"/>
      <w:lvlJc w:val="left"/>
      <w:pPr>
        <w:tabs>
          <w:tab w:val="left" w:pos="1440"/>
        </w:tabs>
        <w:ind w:left="1470" w:hanging="720"/>
      </w:pPr>
      <w:rPr>
        <w:rFonts w:hint="eastAsia" w:cs="Times New Roman"/>
        <w:sz w:val="32"/>
      </w:rPr>
    </w:lvl>
    <w:lvl w:ilvl="1" w:tentative="0">
      <w:start w:val="1"/>
      <w:numFmt w:val="lowerRoman"/>
      <w:lvlText w:val="(%2)"/>
      <w:lvlJc w:val="left"/>
      <w:pPr>
        <w:tabs>
          <w:tab w:val="left" w:pos="861"/>
        </w:tabs>
        <w:ind w:left="1611" w:hanging="720"/>
      </w:pPr>
      <w:rPr>
        <w:rFonts w:hint="eastAsia" w:cs="Times New Roman"/>
      </w:rPr>
    </w:lvl>
    <w:lvl w:ilvl="2" w:tentative="0">
      <w:start w:val="1"/>
      <w:numFmt w:val="lowerLetter"/>
      <w:lvlText w:val="(%3)"/>
      <w:lvlJc w:val="left"/>
      <w:pPr>
        <w:tabs>
          <w:tab w:val="left" w:pos="1335"/>
        </w:tabs>
        <w:ind w:left="2085" w:hanging="495"/>
      </w:pPr>
      <w:rPr>
        <w:rFonts w:hint="eastAsia" w:cs="Times New Roman"/>
      </w:r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2430" w:hanging="420"/>
      </w:pPr>
      <w:rPr>
        <w:rFonts w:cs="Times New Roman"/>
      </w:r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850" w:hanging="420"/>
      </w:pPr>
      <w:rPr>
        <w:rFonts w:cs="Times New Roman"/>
      </w:r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3270" w:hanging="420"/>
      </w:pPr>
      <w:rPr>
        <w:rFonts w:cs="Times New Roman"/>
      </w:r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3690" w:hanging="420"/>
      </w:pPr>
      <w:rPr>
        <w:rFonts w:cs="Times New Roman"/>
      </w:r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4110" w:hanging="420"/>
      </w:pPr>
      <w:rPr>
        <w:rFonts w:cs="Times New Roman"/>
      </w:r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4530" w:hanging="42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M4YWZjY2Q4OGJiMmRlN2YyMmJlMDA4ZWQ3YjU2YzkifQ=="/>
    <w:docVar w:name="KSO_WPS_MARK_KEY" w:val="909733b4-b602-4df0-acc4-9d4147cb27d7"/>
  </w:docVars>
  <w:rsids>
    <w:rsidRoot w:val="00000000"/>
    <w:rsid w:val="013712F7"/>
    <w:rsid w:val="021D0F28"/>
    <w:rsid w:val="03990047"/>
    <w:rsid w:val="047962FF"/>
    <w:rsid w:val="055661F0"/>
    <w:rsid w:val="05991311"/>
    <w:rsid w:val="05D37841"/>
    <w:rsid w:val="07847D49"/>
    <w:rsid w:val="08D86326"/>
    <w:rsid w:val="0B8615FF"/>
    <w:rsid w:val="0BC84002"/>
    <w:rsid w:val="0C723E3F"/>
    <w:rsid w:val="0E4A08BC"/>
    <w:rsid w:val="0E601E8E"/>
    <w:rsid w:val="10080B22"/>
    <w:rsid w:val="142E4599"/>
    <w:rsid w:val="163460AA"/>
    <w:rsid w:val="19A32E59"/>
    <w:rsid w:val="1A7C0FB0"/>
    <w:rsid w:val="1AEF731F"/>
    <w:rsid w:val="1BF75317"/>
    <w:rsid w:val="1CDA72AF"/>
    <w:rsid w:val="1F5A46D7"/>
    <w:rsid w:val="21A27164"/>
    <w:rsid w:val="22A90CFC"/>
    <w:rsid w:val="23D20CE0"/>
    <w:rsid w:val="23E72D7E"/>
    <w:rsid w:val="24971E95"/>
    <w:rsid w:val="2661459D"/>
    <w:rsid w:val="27FF5E1C"/>
    <w:rsid w:val="292530B3"/>
    <w:rsid w:val="2BD870AF"/>
    <w:rsid w:val="2C5C1A8E"/>
    <w:rsid w:val="2C8C29F9"/>
    <w:rsid w:val="2D89733C"/>
    <w:rsid w:val="2EBC6814"/>
    <w:rsid w:val="2F427627"/>
    <w:rsid w:val="33022B47"/>
    <w:rsid w:val="363907FC"/>
    <w:rsid w:val="38D46E50"/>
    <w:rsid w:val="390C453D"/>
    <w:rsid w:val="39AF7D56"/>
    <w:rsid w:val="3A320034"/>
    <w:rsid w:val="3C390664"/>
    <w:rsid w:val="3F9B60B7"/>
    <w:rsid w:val="43650541"/>
    <w:rsid w:val="442C71D3"/>
    <w:rsid w:val="452A5409"/>
    <w:rsid w:val="46BF5767"/>
    <w:rsid w:val="4861407E"/>
    <w:rsid w:val="48621D83"/>
    <w:rsid w:val="4B2D0092"/>
    <w:rsid w:val="4C9B52CF"/>
    <w:rsid w:val="4DFF4F6D"/>
    <w:rsid w:val="4F6E2C30"/>
    <w:rsid w:val="51F87354"/>
    <w:rsid w:val="555E7D76"/>
    <w:rsid w:val="58EE339E"/>
    <w:rsid w:val="5A3F0176"/>
    <w:rsid w:val="5B7433AA"/>
    <w:rsid w:val="5CBF4BD4"/>
    <w:rsid w:val="60893820"/>
    <w:rsid w:val="608B48A7"/>
    <w:rsid w:val="61F33C67"/>
    <w:rsid w:val="63DF6526"/>
    <w:rsid w:val="646A2293"/>
    <w:rsid w:val="64963088"/>
    <w:rsid w:val="66D63C10"/>
    <w:rsid w:val="68B930E7"/>
    <w:rsid w:val="6B3B5317"/>
    <w:rsid w:val="6BF54B38"/>
    <w:rsid w:val="6DEA61F3"/>
    <w:rsid w:val="6E0B0643"/>
    <w:rsid w:val="6EB01248"/>
    <w:rsid w:val="6F353258"/>
    <w:rsid w:val="767C7BC4"/>
    <w:rsid w:val="77246C9A"/>
    <w:rsid w:val="785C7CED"/>
    <w:rsid w:val="7C494DE5"/>
    <w:rsid w:val="7D0E6FB7"/>
    <w:rsid w:val="7DD722F0"/>
    <w:rsid w:val="7E8911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iPriority="99" w:semiHidden="0" w:name="Normal Indent"/>
    <w:lsdException w:qFormat="1"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nhideWhenUsed="0" w:uiPriority="99" w:semiHidden="0" w:name="Body Text First Indent 2"/>
    <w:lsdException w:unhideWhenUsed="0" w:uiPriority="0" w:semiHidden="0" w:name="Note Heading"/>
    <w:lsdException w:qFormat="1" w:unhideWhenUsed="0" w:uiPriority="99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adjustRightInd w:val="0"/>
      <w:snapToGrid w:val="0"/>
      <w:spacing w:line="560" w:lineRule="exact"/>
      <w:ind w:firstLine="880" w:firstLineChars="200"/>
      <w:jc w:val="both"/>
    </w:pPr>
    <w:rPr>
      <w:rFonts w:ascii="Times New Roman" w:hAnsi="Times New Roman" w:eastAsia="仿宋" w:cs="仿宋"/>
      <w:kern w:val="2"/>
      <w:sz w:val="32"/>
      <w:szCs w:val="32"/>
      <w:lang w:val="en-US" w:eastAsia="zh-CN" w:bidi="ar-SA"/>
    </w:rPr>
  </w:style>
  <w:style w:type="paragraph" w:styleId="7">
    <w:name w:val="heading 2"/>
    <w:basedOn w:val="1"/>
    <w:next w:val="1"/>
    <w:unhideWhenUsed/>
    <w:qFormat/>
    <w:uiPriority w:val="0"/>
    <w:pPr>
      <w:spacing w:line="640" w:lineRule="exact"/>
      <w:ind w:firstLine="964" w:firstLineChars="200"/>
      <w:jc w:val="left"/>
      <w:outlineLvl w:val="1"/>
    </w:pPr>
    <w:rPr>
      <w:rFonts w:ascii="楷体" w:hAnsi="楷体" w:eastAsia="楷体" w:cs="楷体"/>
      <w:b/>
      <w:bCs/>
      <w:snapToGrid w:val="0"/>
      <w:kern w:val="0"/>
    </w:rPr>
  </w:style>
  <w:style w:type="paragraph" w:styleId="8">
    <w:name w:val="heading 3"/>
    <w:basedOn w:val="1"/>
    <w:next w:val="1"/>
    <w:unhideWhenUsed/>
    <w:qFormat/>
    <w:uiPriority w:val="0"/>
    <w:pPr>
      <w:ind w:firstLine="640"/>
      <w:outlineLvl w:val="2"/>
    </w:pPr>
    <w:rPr>
      <w:rFonts w:ascii="Times New Roman" w:hAnsi="Times New Roman"/>
      <w:b/>
      <w:bCs/>
      <w:snapToGrid w:val="0"/>
      <w:kern w:val="0"/>
    </w:rPr>
  </w:style>
  <w:style w:type="character" w:default="1" w:styleId="13">
    <w:name w:val="Default Paragraph Font"/>
    <w:semiHidden/>
    <w:qFormat/>
    <w:uiPriority w:val="0"/>
  </w:style>
  <w:style w:type="table" w:default="1" w:styleId="1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next w:val="5"/>
    <w:qFormat/>
    <w:uiPriority w:val="0"/>
    <w:pPr>
      <w:ind w:firstLine="420" w:firstLineChars="100"/>
    </w:pPr>
  </w:style>
  <w:style w:type="paragraph" w:styleId="3">
    <w:name w:val="Body Text"/>
    <w:basedOn w:val="1"/>
    <w:next w:val="4"/>
    <w:qFormat/>
    <w:uiPriority w:val="0"/>
    <w:pPr>
      <w:spacing w:after="120" w:afterLines="0" w:afterAutospacing="0"/>
    </w:pPr>
  </w:style>
  <w:style w:type="paragraph" w:styleId="4">
    <w:name w:val="Body Text 2"/>
    <w:basedOn w:val="1"/>
    <w:next w:val="3"/>
    <w:qFormat/>
    <w:uiPriority w:val="99"/>
    <w:pPr>
      <w:numPr>
        <w:ilvl w:val="0"/>
        <w:numId w:val="1"/>
      </w:numPr>
      <w:spacing w:beforeLines="50" w:line="336" w:lineRule="auto"/>
      <w:ind w:firstLine="0"/>
    </w:pPr>
    <w:rPr>
      <w:rFonts w:eastAsia="黑体"/>
      <w:lang w:val="en-GB"/>
    </w:rPr>
  </w:style>
  <w:style w:type="paragraph" w:styleId="5">
    <w:name w:val="Body Text First Indent 2"/>
    <w:basedOn w:val="6"/>
    <w:next w:val="1"/>
    <w:qFormat/>
    <w:uiPriority w:val="99"/>
    <w:pPr>
      <w:spacing w:line="360" w:lineRule="auto"/>
      <w:ind w:firstLine="964"/>
    </w:pPr>
    <w:rPr>
      <w:rFonts w:ascii="Times New Roman" w:eastAsia="仿宋"/>
      <w:sz w:val="28"/>
      <w:szCs w:val="28"/>
    </w:rPr>
  </w:style>
  <w:style w:type="paragraph" w:styleId="6">
    <w:name w:val="Body Text Indent"/>
    <w:basedOn w:val="1"/>
    <w:qFormat/>
    <w:uiPriority w:val="99"/>
    <w:pPr>
      <w:ind w:firstLine="600"/>
    </w:pPr>
    <w:rPr>
      <w:rFonts w:ascii="仿宋_GB2312" w:eastAsia="仿宋_GB2312"/>
      <w:sz w:val="30"/>
      <w:szCs w:val="30"/>
    </w:rPr>
  </w:style>
  <w:style w:type="paragraph" w:styleId="9">
    <w:name w:val="Normal Indent"/>
    <w:basedOn w:val="1"/>
    <w:unhideWhenUsed/>
    <w:qFormat/>
    <w:uiPriority w:val="99"/>
    <w:pPr>
      <w:ind w:firstLine="556"/>
    </w:pPr>
    <w:rPr>
      <w:rFonts w:cs="仿宋_GB2312"/>
      <w:kern w:val="0"/>
      <w:szCs w:val="21"/>
    </w:rPr>
  </w:style>
  <w:style w:type="paragraph" w:styleId="10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1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14">
    <w:name w:val="封面大标题"/>
    <w:basedOn w:val="1"/>
    <w:qFormat/>
    <w:uiPriority w:val="0"/>
    <w:pPr>
      <w:spacing w:line="360" w:lineRule="auto"/>
      <w:ind w:firstLine="0" w:firstLineChars="0"/>
      <w:jc w:val="center"/>
    </w:pPr>
    <w:rPr>
      <w:rFonts w:ascii="仿宋_GB2312" w:hAnsi="仿宋_GB2312" w:eastAsia="黑体"/>
      <w:bCs/>
      <w:color w:val="auto"/>
      <w:sz w:val="5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973</Words>
  <Characters>1014</Characters>
  <Lines>0</Lines>
  <Paragraphs>0</Paragraphs>
  <TotalTime>3</TotalTime>
  <ScaleCrop>false</ScaleCrop>
  <LinksUpToDate>false</LinksUpToDate>
  <CharactersWithSpaces>1014</CharactersWithSpaces>
  <Application>WPS Office_11.1.0.9912_F1E327BC-269C-435d-A152-05C5408002CA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2021-11-02T06:30:00Z</dcterms:created>
  <dc:creator>Administrator</dc:creator>
  <cp:lastModifiedBy>鹏</cp:lastModifiedBy>
  <dcterms:modified xsi:type="dcterms:W3CDTF">2025-02-13T12:33:20Z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  <property fmtid="{D5CDD505-2E9C-101B-9397-08002B2CF9AE}" pid="3" name="ICV">
    <vt:lpwstr>7478F1E00907471C8423A2CEF526D138</vt:lpwstr>
  </property>
</Properties>
</file>