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3EB0F">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开封市祥符区</w:t>
      </w:r>
      <w:bookmarkStart w:id="1" w:name="_GoBack"/>
      <w:bookmarkEnd w:id="1"/>
    </w:p>
    <w:p w14:paraId="79BE9ACA">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eastAsia="zh-CN"/>
        </w:rPr>
      </w:pPr>
      <w:r>
        <w:rPr>
          <w:rFonts w:hint="default" w:ascii="Times New Roman" w:hAnsi="Times New Roman" w:eastAsia="黑体" w:cs="Times New Roman"/>
          <w:sz w:val="44"/>
          <w:szCs w:val="44"/>
          <w:lang w:val="en-US" w:eastAsia="zh-CN"/>
        </w:rPr>
        <w:t>2023年村内道</w:t>
      </w:r>
      <w:r>
        <w:rPr>
          <w:rFonts w:hint="eastAsia" w:ascii="黑体" w:hAnsi="黑体" w:eastAsia="黑体" w:cs="黑体"/>
          <w:sz w:val="44"/>
          <w:szCs w:val="44"/>
          <w:lang w:val="en-US" w:eastAsia="zh-CN"/>
        </w:rPr>
        <w:t>路提升工程</w:t>
      </w:r>
      <w:r>
        <w:rPr>
          <w:rFonts w:hint="eastAsia" w:ascii="黑体" w:hAnsi="黑体" w:eastAsia="黑体" w:cs="黑体"/>
          <w:sz w:val="44"/>
          <w:szCs w:val="44"/>
          <w:lang w:eastAsia="zh-CN"/>
        </w:rPr>
        <w:t>项目</w:t>
      </w:r>
    </w:p>
    <w:p w14:paraId="1B07DD5D">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rPr>
        <w:t>财政重点绩效评价报告</w:t>
      </w:r>
    </w:p>
    <w:p w14:paraId="0891697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一、项目概况</w:t>
      </w:r>
    </w:p>
    <w:p w14:paraId="2F01E225">
      <w:pPr>
        <w:pStyle w:val="17"/>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rPr>
          <w:rFonts w:hint="eastAsia"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随着农村经济的快速发展，农村基础设施建设势在必行。开封市祥符区2023年村内道路提升工程项目建设地点为朱仙镇何砦村、韩岗村、老谭村，万隆乡乔砦村、杨楼村，范村乡大关头村，半坡店乡半坡店村，仇镇朱砦村，罗王乡查砦村，八里湾镇张马庄共7个乡镇10个行政村。建设内容为新建道路长度24.21km，道路面积83412m</w:t>
      </w:r>
      <w:r>
        <w:rPr>
          <w:rFonts w:hint="eastAsia" w:ascii="Times New Roman" w:hAnsi="Times New Roman" w:eastAsia="仿宋" w:cs="仿宋"/>
          <w:b w:val="0"/>
          <w:bCs w:val="0"/>
          <w:snapToGrid/>
          <w:color w:val="000000" w:themeColor="text1"/>
          <w:kern w:val="2"/>
          <w:sz w:val="32"/>
          <w:szCs w:val="32"/>
          <w:vertAlign w:val="superscript"/>
          <w:lang w:val="en-US" w:eastAsia="zh-CN" w:bidi="ar-SA"/>
          <w14:textFill>
            <w14:solidFill>
              <w14:schemeClr w14:val="tx1"/>
            </w14:solidFill>
          </w14:textFill>
        </w:rPr>
        <w:t>2</w:t>
      </w:r>
      <w:r>
        <w:rPr>
          <w:rFonts w:hint="eastAsia" w:ascii="Times New Roman" w:hAnsi="Times New Roman" w:eastAsia="仿宋" w:cs="仿宋"/>
          <w:b w:val="0"/>
          <w:bCs w:val="0"/>
          <w:snapToGrid/>
          <w:color w:val="000000" w:themeColor="text1"/>
          <w:kern w:val="2"/>
          <w:sz w:val="32"/>
          <w:szCs w:val="32"/>
          <w:vertAlign w:val="baseline"/>
          <w:lang w:val="en-US" w:eastAsia="zh-CN" w:bidi="ar-SA"/>
          <w14:textFill>
            <w14:solidFill>
              <w14:schemeClr w14:val="tx1"/>
            </w14:solidFill>
          </w14:textFill>
        </w:rPr>
        <w:t>。</w:t>
      </w:r>
      <w:r>
        <w:rPr>
          <w:rFonts w:hint="eastAsia"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全部为新建混凝土路面，路面结构为16cm水泥混凝土面板+15cm水泥稳定土基层。该项目由区乡村振兴局委托河南铭巨工程管理咨询有限公司对该项目进行公开招标，共分为十个施工标段（其中第三，第七标段进行二次招标），十一标段为监理标段（</w:t>
      </w:r>
      <w:r>
        <w:rPr>
          <w:rFonts w:hint="eastAsia" w:ascii="Times New Roman" w:hAnsi="Times New Roman" w:eastAsia="仿宋" w:cs="仿宋"/>
          <w:color w:val="000000" w:themeColor="text1"/>
          <w:kern w:val="2"/>
          <w:sz w:val="32"/>
          <w:szCs w:val="32"/>
          <w:lang w:eastAsia="zh-CN"/>
          <w14:textFill>
            <w14:solidFill>
              <w14:schemeClr w14:val="tx1"/>
            </w14:solidFill>
          </w14:textFill>
        </w:rPr>
        <w:t>中标单位为</w:t>
      </w:r>
      <w:r>
        <w:rPr>
          <w:rFonts w:hint="eastAsia" w:ascii="Times New Roman" w:hAnsi="Times New Roman" w:eastAsia="仿宋" w:cs="仿宋"/>
          <w:color w:val="000000" w:themeColor="text1"/>
          <w:kern w:val="2"/>
          <w:sz w:val="32"/>
          <w:szCs w:val="32"/>
          <w:lang w:val="en-US" w:eastAsia="zh-CN"/>
          <w14:textFill>
            <w14:solidFill>
              <w14:schemeClr w14:val="tx1"/>
            </w14:solidFill>
          </w14:textFill>
        </w:rPr>
        <w:t>中诚运玛咨询股份有限公司</w:t>
      </w:r>
      <w:r>
        <w:rPr>
          <w:rFonts w:hint="eastAsia"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w:t>
      </w:r>
    </w:p>
    <w:p w14:paraId="51ED846F">
      <w:pPr>
        <w:keepNext w:val="0"/>
        <w:keepLines w:val="0"/>
        <w:pageBreakBefore w:val="0"/>
        <w:widowControl w:val="0"/>
        <w:kinsoku/>
        <w:wordWrap/>
        <w:overflowPunct/>
        <w:topLinePunct w:val="0"/>
        <w:autoSpaceDE/>
        <w:autoSpaceDN/>
        <w:bidi w:val="0"/>
        <w:adjustRightInd w:val="0"/>
        <w:snapToGrid w:val="0"/>
        <w:ind w:firstLine="640" w:firstLineChars="200"/>
        <w:textAlignment w:val="auto"/>
        <w:rPr>
          <w:rFonts w:hint="default" w:cs="仿宋"/>
          <w:b w:val="0"/>
          <w:bCs w:val="0"/>
          <w:snapToGrid/>
          <w:color w:val="auto"/>
          <w:kern w:val="2"/>
          <w:sz w:val="32"/>
          <w:szCs w:val="32"/>
          <w:lang w:val="en-US" w:eastAsia="zh-CN" w:bidi="ar-SA"/>
        </w:rPr>
      </w:pPr>
      <w:r>
        <w:rPr>
          <w:rFonts w:hint="eastAsia"/>
          <w:color w:val="auto"/>
          <w:highlight w:val="none"/>
          <w:lang w:val="en-US" w:eastAsia="zh-CN"/>
        </w:rPr>
        <w:t>根据《开封市祥符区2023年村内道路提升工程评审报告（预算）》（汴祥预评字〔2023〕138号）</w:t>
      </w:r>
      <w:r>
        <w:rPr>
          <w:rFonts w:hint="eastAsia" w:cs="仿宋"/>
          <w:b w:val="0"/>
          <w:bCs w:val="0"/>
          <w:snapToGrid/>
          <w:color w:val="auto"/>
          <w:kern w:val="2"/>
          <w:sz w:val="32"/>
          <w:szCs w:val="32"/>
          <w:lang w:val="en-US" w:eastAsia="zh-CN" w:bidi="ar-SA"/>
        </w:rPr>
        <w:t>文件</w:t>
      </w:r>
      <w:r>
        <w:rPr>
          <w:rFonts w:hint="eastAsia"/>
          <w:color w:val="auto"/>
          <w:highlight w:val="none"/>
          <w:lang w:val="en-US" w:eastAsia="zh-CN"/>
        </w:rPr>
        <w:t>，</w:t>
      </w:r>
      <w:r>
        <w:rPr>
          <w:rFonts w:hint="eastAsia"/>
          <w:color w:val="000000" w:themeColor="text1"/>
          <w:lang w:val="en-US" w:eastAsia="zh-CN"/>
          <w14:textFill>
            <w14:solidFill>
              <w14:schemeClr w14:val="tx1"/>
            </w14:solidFill>
          </w14:textFill>
        </w:rPr>
        <w:t>开封市祥符区2023年村内道路提升工程项目报审金额1245.17万元，</w:t>
      </w:r>
      <w:r>
        <w:rPr>
          <w:rFonts w:hint="eastAsia" w:cs="仿宋"/>
          <w:b w:val="0"/>
          <w:bCs w:val="0"/>
          <w:snapToGrid/>
          <w:color w:val="auto"/>
          <w:kern w:val="2"/>
          <w:sz w:val="32"/>
          <w:szCs w:val="32"/>
          <w:lang w:val="en-US" w:eastAsia="zh-CN" w:bidi="ar-SA"/>
        </w:rPr>
        <w:t>审减金额80.25万元，后审定金额1164.92万元（审定金额不包含监理费）。项目十一标段为监理标，监理费20.97万元，项目总预算1185.89万元。根据对项目十一个标段公开招标的结果，项目合同金额总计1138.16万元（含监理费），</w:t>
      </w:r>
      <w:r>
        <w:rPr>
          <w:rFonts w:hint="default" w:ascii="Times New Roman" w:hAnsi="Times New Roman" w:eastAsia="仿宋" w:cs="仿宋"/>
          <w:b w:val="0"/>
          <w:bCs w:val="0"/>
          <w:snapToGrid/>
          <w:color w:val="auto"/>
          <w:kern w:val="2"/>
          <w:sz w:val="32"/>
          <w:szCs w:val="32"/>
          <w:lang w:val="zh-CN" w:eastAsia="zh-CN" w:bidi="ar-SA"/>
        </w:rPr>
        <w:t>项目预算资金依据项目建设合同进行分配。</w:t>
      </w:r>
      <w:r>
        <w:rPr>
          <w:rFonts w:hint="eastAsia" w:cs="仿宋"/>
          <w:b w:val="0"/>
          <w:bCs w:val="0"/>
          <w:snapToGrid/>
          <w:color w:val="auto"/>
          <w:kern w:val="2"/>
          <w:sz w:val="32"/>
          <w:szCs w:val="32"/>
          <w:lang w:val="zh-CN" w:eastAsia="zh-CN" w:bidi="ar-SA"/>
        </w:rPr>
        <w:t>截止</w:t>
      </w:r>
      <w:r>
        <w:rPr>
          <w:rFonts w:hint="eastAsia"/>
          <w:color w:val="000000" w:themeColor="text1"/>
          <w:lang w:val="en-US" w:eastAsia="zh-CN"/>
          <w14:textFill>
            <w14:solidFill>
              <w14:schemeClr w14:val="tx1"/>
            </w14:solidFill>
          </w14:textFill>
        </w:rPr>
        <w:t>2023年12月31日，资金到位率100%。项目共支出资金335.16万元</w:t>
      </w:r>
      <w:r>
        <w:rPr>
          <w:rFonts w:hint="eastAsia"/>
          <w:color w:val="000000" w:themeColor="text1"/>
          <w:highlight w:val="none"/>
          <w:lang w:val="en-US" w:eastAsia="zh-CN"/>
          <w14:textFill>
            <w14:solidFill>
              <w14:schemeClr w14:val="tx1"/>
            </w14:solidFill>
          </w14:textFill>
        </w:rPr>
        <w:t>，资金执行</w:t>
      </w:r>
      <w:r>
        <w:rPr>
          <w:rFonts w:hint="eastAsia" w:ascii="Times New Roman" w:hAnsi="Times New Roman"/>
          <w:color w:val="000000" w:themeColor="text1"/>
          <w:highlight w:val="none"/>
          <w14:textFill>
            <w14:solidFill>
              <w14:schemeClr w14:val="tx1"/>
            </w14:solidFill>
          </w14:textFill>
        </w:rPr>
        <w:t>率</w:t>
      </w:r>
      <w:r>
        <w:rPr>
          <w:rFonts w:hint="eastAsia" w:ascii="Times New Roman" w:hAnsi="Times New Roman"/>
          <w:color w:val="000000" w:themeColor="text1"/>
          <w:highlight w:val="none"/>
          <w:lang w:val="en-US" w:eastAsia="zh-CN"/>
          <w14:textFill>
            <w14:solidFill>
              <w14:schemeClr w14:val="tx1"/>
            </w14:solidFill>
          </w14:textFill>
        </w:rPr>
        <w:t>29.45</w:t>
      </w:r>
      <w:r>
        <w:rPr>
          <w:rFonts w:hint="eastAsia"/>
          <w:color w:val="000000" w:themeColor="text1"/>
          <w:highlight w:val="none"/>
          <w:lang w:val="en-US" w:eastAsia="zh-CN"/>
          <w14:textFill>
            <w14:solidFill>
              <w14:schemeClr w14:val="tx1"/>
            </w14:solidFill>
          </w14:textFill>
        </w:rPr>
        <w:t>%。</w:t>
      </w:r>
    </w:p>
    <w:p w14:paraId="5060664C">
      <w:pPr>
        <w:bidi w:val="0"/>
        <w:rPr>
          <w:rFonts w:hint="eastAsia" w:eastAsia="仿宋"/>
          <w:color w:val="000000" w:themeColor="text1"/>
          <w:highlight w:val="none"/>
          <w:lang w:val="en-US" w:eastAsia="zh-CN"/>
          <w14:textFill>
            <w14:solidFill>
              <w14:schemeClr w14:val="tx1"/>
            </w14:solidFill>
          </w14:textFill>
        </w:rPr>
      </w:pPr>
      <w:r>
        <w:rPr>
          <w:rFonts w:hint="eastAsia" w:cs="仿宋"/>
          <w:b w:val="0"/>
          <w:bCs w:val="0"/>
          <w:snapToGrid/>
          <w:color w:val="auto"/>
          <w:kern w:val="2"/>
          <w:sz w:val="32"/>
          <w:szCs w:val="32"/>
          <w:lang w:val="en-US" w:eastAsia="zh-CN" w:bidi="ar-SA"/>
        </w:rPr>
        <w:t>截至2023年12月31日，</w:t>
      </w:r>
      <w:r>
        <w:rPr>
          <w:rFonts w:hint="eastAsia"/>
          <w:color w:val="000000" w:themeColor="text1"/>
          <w:lang w:val="en-US" w:eastAsia="zh-CN"/>
          <w14:textFill>
            <w14:solidFill>
              <w14:schemeClr w14:val="tx1"/>
            </w14:solidFill>
          </w14:textFill>
        </w:rPr>
        <w:t>开封市祥符区2023年村内道路提升工程项目</w:t>
      </w:r>
      <w:r>
        <w:rPr>
          <w:rFonts w:hint="eastAsia" w:cs="仿宋"/>
          <w:b w:val="0"/>
          <w:bCs w:val="0"/>
          <w:snapToGrid/>
          <w:color w:val="auto"/>
          <w:kern w:val="2"/>
          <w:sz w:val="32"/>
          <w:szCs w:val="32"/>
          <w:lang w:val="en-US" w:eastAsia="zh-CN" w:bidi="ar-SA"/>
        </w:rPr>
        <w:t>已完成全部建设任务。项目按照各标段完工时间分别验收，项目各标段建设均完成验收，验收均合格。项目验收后，中标单位和建设辖区村民委员会已签订项目竣工工程移交表，由建设辖区村民委员会进行管护</w:t>
      </w:r>
      <w:r>
        <w:rPr>
          <w:rFonts w:hint="eastAsia"/>
          <w:color w:val="auto"/>
          <w:highlight w:val="none"/>
          <w:lang w:eastAsia="zh-CN"/>
        </w:rPr>
        <w:t>。</w:t>
      </w:r>
    </w:p>
    <w:p w14:paraId="7704FEB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二、评价结论</w:t>
      </w:r>
    </w:p>
    <w:p w14:paraId="797CD13B">
      <w:pPr>
        <w:bidi w:val="0"/>
        <w:rPr>
          <w:rFonts w:hint="eastAsia"/>
          <w:lang w:val="en-US" w:eastAsia="zh-CN"/>
        </w:rPr>
      </w:pPr>
      <w:r>
        <w:rPr>
          <w:rFonts w:hint="eastAsia" w:ascii="Times New Roman" w:hAnsi="Times New Roman"/>
          <w:color w:val="auto"/>
        </w:rPr>
        <w:t>运用评价组设计的指标体系及评分标准，本项目绩效评价得分为</w:t>
      </w:r>
      <w:r>
        <w:rPr>
          <w:rFonts w:hint="eastAsia"/>
          <w:color w:val="auto"/>
          <w:highlight w:val="none"/>
          <w:lang w:val="en-US" w:eastAsia="zh-CN"/>
        </w:rPr>
        <w:t>92.88</w:t>
      </w:r>
      <w:r>
        <w:rPr>
          <w:rFonts w:hint="eastAsia"/>
          <w:color w:val="auto"/>
          <w:highlight w:val="none"/>
        </w:rPr>
        <w:t>分，评价等级为</w:t>
      </w:r>
      <w:r>
        <w:rPr>
          <w:rFonts w:hint="eastAsia"/>
          <w:color w:val="auto"/>
          <w:highlight w:val="none"/>
          <w:lang w:eastAsia="zh-CN"/>
        </w:rPr>
        <w:t>“</w:t>
      </w:r>
      <w:r>
        <w:rPr>
          <w:rFonts w:hint="eastAsia"/>
          <w:color w:val="auto"/>
          <w:highlight w:val="none"/>
          <w:lang w:val="en-US" w:eastAsia="zh-CN"/>
        </w:rPr>
        <w:t>优</w:t>
      </w:r>
      <w:r>
        <w:rPr>
          <w:rFonts w:hint="eastAsia"/>
          <w:color w:val="auto"/>
          <w:highlight w:val="none"/>
          <w:lang w:eastAsia="zh-CN"/>
        </w:rPr>
        <w:t>”。</w:t>
      </w:r>
    </w:p>
    <w:p w14:paraId="790BDFC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黑体" w:hAnsi="黑体" w:eastAsia="黑体" w:cs="黑体"/>
          <w:sz w:val="32"/>
          <w:szCs w:val="40"/>
          <w:lang w:val="en-US" w:eastAsia="zh-CN"/>
        </w:rPr>
      </w:pPr>
      <w:r>
        <w:rPr>
          <w:rFonts w:hint="eastAsia" w:ascii="黑体" w:hAnsi="黑体" w:eastAsia="黑体" w:cs="黑体"/>
          <w:sz w:val="32"/>
          <w:szCs w:val="40"/>
          <w:lang w:val="zh-CN" w:eastAsia="zh-CN"/>
        </w:rPr>
        <w:t>三、</w:t>
      </w:r>
      <w:r>
        <w:rPr>
          <w:rFonts w:hint="eastAsia" w:ascii="黑体" w:hAnsi="黑体" w:eastAsia="黑体" w:cs="黑体"/>
          <w:sz w:val="32"/>
          <w:szCs w:val="40"/>
          <w:lang w:val="en-US" w:eastAsia="zh-CN"/>
        </w:rPr>
        <w:t>实施成效</w:t>
      </w:r>
    </w:p>
    <w:p w14:paraId="2F89FCBE">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color w:val="auto"/>
        </w:rPr>
      </w:pPr>
      <w:r>
        <w:rPr>
          <w:rFonts w:hint="eastAsia" w:ascii="Times New Roman" w:hAnsi="Times New Roman" w:cs="Times New Roman"/>
          <w:lang w:val="en-US" w:eastAsia="zh-CN"/>
        </w:rPr>
        <w:t>项目修建地点村庄道路有很多土路，下雨天道路大多泥泞，不方便出行。通过村内道路修建，对建设村庄内道路进行修建硬化。和尚未修建的道路相比，村内修建道路情况有明显的好转，路面相比更加平坦，下雨不会导致道路泥泞难行。评价组认为该项目明显提高辖区内群众出行的便利度。该项目的实施可进一步促进“村容村貌”的改善。对村内现状</w:t>
      </w:r>
      <w:r>
        <w:rPr>
          <w:rFonts w:hint="eastAsia"/>
          <w:lang w:val="en-US" w:eastAsia="zh-CN"/>
        </w:rPr>
        <w:t>土路进行改造可有效促进农村的环境整治工作，塑造建设文明和美乡村的良好形象</w:t>
      </w:r>
      <w:r>
        <w:rPr>
          <w:rFonts w:hint="eastAsia" w:ascii="Times New Roman" w:hAnsi="Times New Roman" w:eastAsia="仿宋" w:cs="Times New Roman"/>
          <w:b w:val="0"/>
          <w:bCs w:val="0"/>
          <w:snapToGrid/>
          <w:color w:val="auto"/>
          <w:kern w:val="2"/>
          <w:sz w:val="32"/>
          <w:szCs w:val="32"/>
          <w:highlight w:val="none"/>
          <w:lang w:val="en-US" w:eastAsia="zh-CN" w:bidi="ar-SA"/>
        </w:rPr>
        <w:t>。</w:t>
      </w:r>
    </w:p>
    <w:p w14:paraId="1FBD5D2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zh-CN" w:eastAsia="zh-CN"/>
        </w:rPr>
      </w:pPr>
      <w:r>
        <w:rPr>
          <w:rFonts w:hint="eastAsia" w:ascii="黑体" w:hAnsi="黑体" w:eastAsia="黑体" w:cs="黑体"/>
          <w:sz w:val="32"/>
          <w:szCs w:val="40"/>
          <w:lang w:val="zh-CN" w:eastAsia="zh-CN"/>
        </w:rPr>
        <w:t>四、主要问题</w:t>
      </w:r>
    </w:p>
    <w:p w14:paraId="7D7B6CA3">
      <w:pPr>
        <w:bidi w:val="0"/>
        <w:rPr>
          <w:rFonts w:hint="eastAsia"/>
          <w:color w:val="auto"/>
          <w:highlight w:val="none"/>
          <w:lang w:val="en-US" w:eastAsia="zh-CN"/>
        </w:rPr>
      </w:pPr>
      <w:bookmarkStart w:id="0" w:name="_Toc3965"/>
      <w:r>
        <w:rPr>
          <w:rFonts w:hint="eastAsia" w:cs="Times New Roman"/>
          <w:color w:val="auto"/>
          <w:highlight w:val="none"/>
          <w:lang w:val="en-US" w:eastAsia="zh-CN"/>
        </w:rPr>
        <w:t>一是</w:t>
      </w:r>
      <w:bookmarkEnd w:id="0"/>
      <w:r>
        <w:rPr>
          <w:rFonts w:hint="eastAsia" w:cs="Times New Roman"/>
          <w:color w:val="auto"/>
          <w:highlight w:val="none"/>
          <w:lang w:val="en-US" w:eastAsia="zh-CN"/>
        </w:rPr>
        <w:t>资料管理严谨性不足，规范度有待提高。</w:t>
      </w:r>
      <w:r>
        <w:rPr>
          <w:rFonts w:hint="eastAsia"/>
          <w:color w:val="000000" w:themeColor="text1"/>
          <w:highlight w:val="none"/>
          <w14:textFill>
            <w14:solidFill>
              <w14:schemeClr w14:val="tx1"/>
            </w14:solidFill>
          </w14:textFill>
        </w:rPr>
        <w:t>评价组查阅项目资料发现，</w:t>
      </w:r>
      <w:r>
        <w:rPr>
          <w:rFonts w:hint="eastAsia" w:ascii="Times New Roman" w:hAnsi="Times New Roman" w:cs="Times New Roman"/>
          <w:color w:val="000000" w:themeColor="text1"/>
          <w:highlight w:val="none"/>
          <w:lang w:val="en-US" w:eastAsia="zh-CN"/>
          <w14:textFill>
            <w14:solidFill>
              <w14:schemeClr w14:val="tx1"/>
            </w14:solidFill>
          </w14:textFill>
        </w:rPr>
        <w:t>资料文件管理严谨性不足，资料规范度有待提高，例如：四标段项目工程验收表中未填写验收日期，导致四标段具体验收时间不清；九标段开工报告中未填写开工日期；十标段开工报告中填写项目于2023年10月20日开工，项目工程验收表中开工时间为2023年10月21日，导致十标段开工时间存在歧义。</w:t>
      </w:r>
      <w:r>
        <w:rPr>
          <w:rFonts w:hint="eastAsia"/>
          <w:color w:val="000000" w:themeColor="text1"/>
          <w:highlight w:val="none"/>
          <w:lang w:val="en-US" w:eastAsia="zh-CN"/>
          <w14:textFill>
            <w14:solidFill>
              <w14:schemeClr w14:val="tx1"/>
            </w14:solidFill>
          </w14:textFill>
        </w:rPr>
        <w:t>资料中这些细小</w:t>
      </w:r>
      <w:r>
        <w:rPr>
          <w:rFonts w:hint="eastAsia"/>
          <w:color w:val="000000" w:themeColor="text1"/>
          <w:highlight w:val="none"/>
          <w14:textFill>
            <w14:solidFill>
              <w14:schemeClr w14:val="tx1"/>
            </w14:solidFill>
          </w14:textFill>
        </w:rPr>
        <w:t>问题影响了档案</w:t>
      </w:r>
      <w:r>
        <w:rPr>
          <w:rFonts w:hint="eastAsia"/>
          <w:color w:val="000000" w:themeColor="text1"/>
          <w:highlight w:val="none"/>
          <w:lang w:val="en-US" w:eastAsia="zh-CN"/>
          <w14:textFill>
            <w14:solidFill>
              <w14:schemeClr w14:val="tx1"/>
            </w14:solidFill>
          </w14:textFill>
        </w:rPr>
        <w:t>资料</w:t>
      </w:r>
      <w:r>
        <w:rPr>
          <w:rFonts w:hint="eastAsia"/>
          <w:color w:val="000000" w:themeColor="text1"/>
          <w:highlight w:val="none"/>
          <w14:textFill>
            <w14:solidFill>
              <w14:schemeClr w14:val="tx1"/>
            </w14:solidFill>
          </w14:textFill>
        </w:rPr>
        <w:t>的可用性和参考价值</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也将</w:t>
      </w:r>
      <w:r>
        <w:rPr>
          <w:rFonts w:hint="eastAsia"/>
          <w:color w:val="000000" w:themeColor="text1"/>
          <w:highlight w:val="none"/>
          <w14:textFill>
            <w14:solidFill>
              <w14:schemeClr w14:val="tx1"/>
            </w14:solidFill>
          </w14:textFill>
        </w:rPr>
        <w:t>影响项目的管理水平和后续的评估、审计等工作</w:t>
      </w:r>
      <w:r>
        <w:rPr>
          <w:rFonts w:hint="eastAsia"/>
          <w:color w:val="auto"/>
          <w:highlight w:val="none"/>
          <w:lang w:val="en-US" w:eastAsia="zh-CN"/>
        </w:rPr>
        <w:t>。</w:t>
      </w:r>
    </w:p>
    <w:p w14:paraId="473D4227">
      <w:pPr>
        <w:pStyle w:val="2"/>
        <w:keepNext w:val="0"/>
        <w:keepLines w:val="0"/>
        <w:pageBreakBefore w:val="0"/>
        <w:widowControl w:val="0"/>
        <w:kinsoku/>
        <w:wordWrap/>
        <w:overflowPunct/>
        <w:topLinePunct w:val="0"/>
        <w:autoSpaceDE/>
        <w:autoSpaceDN/>
        <w:bidi w:val="0"/>
        <w:adjustRightInd w:val="0"/>
        <w:snapToGrid w:val="0"/>
        <w:spacing w:after="0"/>
        <w:ind w:firstLine="640" w:firstLineChars="200"/>
        <w:textAlignment w:val="auto"/>
        <w:rPr>
          <w:rFonts w:hint="eastAsia"/>
        </w:rPr>
      </w:pPr>
      <w:r>
        <w:rPr>
          <w:rFonts w:hint="eastAsia" w:cs="Times New Roman"/>
          <w:color w:val="auto"/>
          <w:highlight w:val="none"/>
          <w:lang w:val="en-US" w:eastAsia="zh-CN"/>
        </w:rPr>
        <w:t>二是后期管护工作有待加强。</w:t>
      </w:r>
      <w:r>
        <w:rPr>
          <w:rFonts w:hint="eastAsia" w:cs="Times New Roman"/>
          <w:color w:val="000000" w:themeColor="text1"/>
          <w:kern w:val="2"/>
          <w:sz w:val="32"/>
          <w:szCs w:val="32"/>
          <w:highlight w:val="none"/>
          <w:lang w:val="en-US" w:eastAsia="zh-CN" w:bidi="ar-SA"/>
          <w14:textFill>
            <w14:solidFill>
              <w14:schemeClr w14:val="tx1"/>
            </w14:solidFill>
          </w14:textFill>
        </w:rPr>
        <w:t>项目</w:t>
      </w:r>
      <w:r>
        <w:rPr>
          <w:rFonts w:hint="eastAsia"/>
          <w:color w:val="000000" w:themeColor="text1"/>
          <w:sz w:val="32"/>
          <w:szCs w:val="32"/>
          <w:highlight w:val="none"/>
          <w:lang w:val="en-US" w:eastAsia="zh-CN"/>
          <w14:textFill>
            <w14:solidFill>
              <w14:schemeClr w14:val="tx1"/>
            </w14:solidFill>
          </w14:textFill>
        </w:rPr>
        <w:t>后期管护工作存在漏洞，管护执行率有待提升。部分道路存在路边杂草掩盖道路、路面出现坑洼未及时修补等问题。各村民委员会未能按照《2023年度财政衔接乡村振兴项目竣工工程管护责任书》要求，定期对固定资产运行情况开展清查管护工作。</w:t>
      </w:r>
    </w:p>
    <w:p w14:paraId="33A2E5B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zh-CN" w:eastAsia="zh-CN"/>
        </w:rPr>
      </w:pPr>
      <w:r>
        <w:rPr>
          <w:rFonts w:hint="eastAsia" w:ascii="黑体" w:hAnsi="黑体" w:eastAsia="黑体" w:cs="黑体"/>
          <w:sz w:val="32"/>
          <w:szCs w:val="40"/>
          <w:lang w:val="zh-CN" w:eastAsia="zh-CN"/>
        </w:rPr>
        <w:t>五、意见和建议</w:t>
      </w:r>
    </w:p>
    <w:p w14:paraId="620BB564">
      <w:pPr>
        <w:bidi w:val="0"/>
        <w:rPr>
          <w:rFonts w:hint="eastAsia"/>
          <w:color w:val="auto"/>
          <w:highlight w:val="none"/>
          <w:lang w:val="en-US" w:eastAsia="zh-CN"/>
        </w:rPr>
      </w:pPr>
      <w:r>
        <w:rPr>
          <w:rFonts w:hint="eastAsia" w:cs="Times New Roman"/>
          <w:color w:val="auto"/>
          <w:highlight w:val="none"/>
          <w:lang w:val="en-US" w:eastAsia="zh-CN"/>
        </w:rPr>
        <w:t>一是规范资料管理，加强档案管理意识。</w:t>
      </w:r>
      <w:r>
        <w:rPr>
          <w:rFonts w:hint="eastAsia"/>
          <w:lang w:val="en-US" w:eastAsia="zh-CN"/>
        </w:rPr>
        <w:t>加大资料规范</w:t>
      </w:r>
      <w:r>
        <w:rPr>
          <w:rFonts w:hint="eastAsia"/>
        </w:rPr>
        <w:t>执行力度</w:t>
      </w:r>
      <w:r>
        <w:rPr>
          <w:rFonts w:hint="eastAsia"/>
          <w:lang w:eastAsia="zh-CN"/>
        </w:rPr>
        <w:t>，</w:t>
      </w:r>
      <w:r>
        <w:rPr>
          <w:rFonts w:hint="eastAsia"/>
          <w:color w:val="auto"/>
          <w:lang w:val="en-US" w:eastAsia="zh-CN"/>
        </w:rPr>
        <w:t>项目单位加强档案管理意识，养成良好的归档习惯，</w:t>
      </w:r>
      <w:r>
        <w:rPr>
          <w:rFonts w:hint="default"/>
          <w:color w:val="auto"/>
          <w:lang w:val="en-US" w:eastAsia="zh-CN"/>
        </w:rPr>
        <w:t>将</w:t>
      </w:r>
      <w:r>
        <w:rPr>
          <w:rFonts w:hint="eastAsia"/>
          <w:color w:val="auto"/>
          <w:lang w:val="en-US" w:eastAsia="zh-CN"/>
        </w:rPr>
        <w:t>项目</w:t>
      </w:r>
      <w:r>
        <w:rPr>
          <w:rFonts w:hint="default"/>
          <w:color w:val="auto"/>
          <w:lang w:val="en-US" w:eastAsia="zh-CN"/>
        </w:rPr>
        <w:t>资料</w:t>
      </w:r>
      <w:r>
        <w:rPr>
          <w:rFonts w:hint="eastAsia"/>
          <w:color w:val="auto"/>
          <w:lang w:val="en-US" w:eastAsia="zh-CN"/>
        </w:rPr>
        <w:t>分类归档，整理规范，</w:t>
      </w:r>
      <w:r>
        <w:rPr>
          <w:rFonts w:hint="default"/>
          <w:color w:val="auto"/>
          <w:lang w:val="en-US" w:eastAsia="zh-CN"/>
        </w:rPr>
        <w:t>确保每一份材料都能够</w:t>
      </w:r>
      <w:r>
        <w:rPr>
          <w:rFonts w:hint="eastAsia"/>
          <w:color w:val="auto"/>
          <w:lang w:val="en-US" w:eastAsia="zh-CN"/>
        </w:rPr>
        <w:t>规范</w:t>
      </w:r>
      <w:r>
        <w:rPr>
          <w:rFonts w:hint="default"/>
          <w:color w:val="auto"/>
          <w:lang w:val="en-US" w:eastAsia="zh-CN"/>
        </w:rPr>
        <w:t>归档</w:t>
      </w:r>
      <w:r>
        <w:rPr>
          <w:rFonts w:hint="eastAsia"/>
        </w:rPr>
        <w:t>。</w:t>
      </w:r>
    </w:p>
    <w:p w14:paraId="40A77E2C">
      <w:pPr>
        <w:bidi w:val="0"/>
        <w:rPr>
          <w:rFonts w:hint="default"/>
          <w:lang w:val="en-US" w:eastAsia="zh-CN"/>
        </w:rPr>
      </w:pPr>
      <w:r>
        <w:rPr>
          <w:rFonts w:hint="eastAsia" w:cs="Times New Roman"/>
          <w:color w:val="auto"/>
          <w:highlight w:val="none"/>
          <w:lang w:val="en-US" w:eastAsia="zh-CN"/>
        </w:rPr>
        <w:t>二是重视后期管护工作，保障管护落实到位。</w:t>
      </w:r>
      <w:r>
        <w:rPr>
          <w:rFonts w:hint="default" w:ascii="Times New Roman" w:hAnsi="Times New Roman" w:eastAsia="仿宋" w:cs="Times New Roman"/>
          <w:color w:val="auto"/>
          <w:kern w:val="2"/>
          <w:sz w:val="32"/>
          <w:szCs w:val="32"/>
          <w:lang w:val="en-US" w:eastAsia="zh-CN" w:bidi="ar-SA"/>
        </w:rPr>
        <w:t>项目单位应督促建设辖区内各村民委员会针对该项目重视后期管理管护工作，巩固建设成果，保障建设项目工程使用年限。管护主体建设辖区内各村民委员会应根据管护制度，为工程质量保驾护航，形成长效常态管理。</w:t>
      </w:r>
    </w:p>
    <w:sectPr>
      <w:footerReference r:id="rId5"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49CE">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FA1BB1">
                          <w:pPr>
                            <w:pStyle w:val="9"/>
                            <w:ind w:firstLine="0" w:firstLineChars="0"/>
                            <w:rPr>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FA1BB1">
                    <w:pPr>
                      <w:pStyle w:val="9"/>
                      <w:ind w:firstLine="0" w:firstLineChars="0"/>
                      <w:rPr>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4"/>
      <w:lvlText w:val="第%1章　"/>
      <w:lvlJc w:val="left"/>
      <w:pPr>
        <w:tabs>
          <w:tab w:val="left" w:pos="1440"/>
        </w:tabs>
        <w:ind w:left="1470" w:hanging="720"/>
      </w:pPr>
      <w:rPr>
        <w:rFonts w:hint="eastAsia" w:cs="Times New Roman"/>
        <w:sz w:val="32"/>
      </w:rPr>
    </w:lvl>
    <w:lvl w:ilvl="1" w:tentative="0">
      <w:start w:val="1"/>
      <w:numFmt w:val="lowerRoman"/>
      <w:lvlText w:val="(%2)"/>
      <w:lvlJc w:val="left"/>
      <w:pPr>
        <w:tabs>
          <w:tab w:val="left" w:pos="861"/>
        </w:tabs>
        <w:ind w:left="1611" w:hanging="720"/>
      </w:pPr>
      <w:rPr>
        <w:rFonts w:hint="eastAsia" w:cs="Times New Roman"/>
      </w:rPr>
    </w:lvl>
    <w:lvl w:ilvl="2" w:tentative="0">
      <w:start w:val="1"/>
      <w:numFmt w:val="lowerLetter"/>
      <w:lvlText w:val="(%3)"/>
      <w:lvlJc w:val="left"/>
      <w:pPr>
        <w:tabs>
          <w:tab w:val="left" w:pos="1335"/>
        </w:tabs>
        <w:ind w:left="2085" w:hanging="495"/>
      </w:pPr>
      <w:rPr>
        <w:rFonts w:hint="eastAsia" w:cs="Times New Roman"/>
      </w:rPr>
    </w:lvl>
    <w:lvl w:ilvl="3" w:tentative="0">
      <w:start w:val="1"/>
      <w:numFmt w:val="decimal"/>
      <w:lvlText w:val="%4."/>
      <w:lvlJc w:val="left"/>
      <w:pPr>
        <w:tabs>
          <w:tab w:val="left" w:pos="1680"/>
        </w:tabs>
        <w:ind w:left="2430" w:hanging="420"/>
      </w:pPr>
      <w:rPr>
        <w:rFonts w:cs="Times New Roman"/>
      </w:rPr>
    </w:lvl>
    <w:lvl w:ilvl="4" w:tentative="0">
      <w:start w:val="1"/>
      <w:numFmt w:val="lowerLetter"/>
      <w:lvlText w:val="%5)"/>
      <w:lvlJc w:val="left"/>
      <w:pPr>
        <w:tabs>
          <w:tab w:val="left" w:pos="2100"/>
        </w:tabs>
        <w:ind w:left="2850" w:hanging="420"/>
      </w:pPr>
      <w:rPr>
        <w:rFonts w:cs="Times New Roman"/>
      </w:rPr>
    </w:lvl>
    <w:lvl w:ilvl="5" w:tentative="0">
      <w:start w:val="1"/>
      <w:numFmt w:val="lowerRoman"/>
      <w:lvlText w:val="%6."/>
      <w:lvlJc w:val="right"/>
      <w:pPr>
        <w:tabs>
          <w:tab w:val="left" w:pos="2520"/>
        </w:tabs>
        <w:ind w:left="3270" w:hanging="420"/>
      </w:pPr>
      <w:rPr>
        <w:rFonts w:cs="Times New Roman"/>
      </w:rPr>
    </w:lvl>
    <w:lvl w:ilvl="6" w:tentative="0">
      <w:start w:val="1"/>
      <w:numFmt w:val="decimal"/>
      <w:lvlText w:val="%7."/>
      <w:lvlJc w:val="left"/>
      <w:pPr>
        <w:tabs>
          <w:tab w:val="left" w:pos="2940"/>
        </w:tabs>
        <w:ind w:left="3690" w:hanging="420"/>
      </w:pPr>
      <w:rPr>
        <w:rFonts w:cs="Times New Roman"/>
      </w:rPr>
    </w:lvl>
    <w:lvl w:ilvl="7" w:tentative="0">
      <w:start w:val="1"/>
      <w:numFmt w:val="lowerLetter"/>
      <w:lvlText w:val="%8)"/>
      <w:lvlJc w:val="left"/>
      <w:pPr>
        <w:tabs>
          <w:tab w:val="left" w:pos="3360"/>
        </w:tabs>
        <w:ind w:left="4110" w:hanging="420"/>
      </w:pPr>
      <w:rPr>
        <w:rFonts w:cs="Times New Roman"/>
      </w:rPr>
    </w:lvl>
    <w:lvl w:ilvl="8" w:tentative="0">
      <w:start w:val="1"/>
      <w:numFmt w:val="lowerRoman"/>
      <w:lvlText w:val="%9."/>
      <w:lvlJc w:val="right"/>
      <w:pPr>
        <w:tabs>
          <w:tab w:val="left" w:pos="3780"/>
        </w:tabs>
        <w:ind w:left="453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xOWExZjgzN2QwMmI1NGQxYjQzZDM0ZGNjMTQ1MGYifQ=="/>
  </w:docVars>
  <w:rsids>
    <w:rsidRoot w:val="00000000"/>
    <w:rsid w:val="0045328F"/>
    <w:rsid w:val="00A97848"/>
    <w:rsid w:val="02956716"/>
    <w:rsid w:val="03990047"/>
    <w:rsid w:val="06022AF8"/>
    <w:rsid w:val="06E71533"/>
    <w:rsid w:val="07FC34CC"/>
    <w:rsid w:val="09E50D9F"/>
    <w:rsid w:val="0B1D1449"/>
    <w:rsid w:val="0BC84002"/>
    <w:rsid w:val="0D2E1801"/>
    <w:rsid w:val="0E4A08BC"/>
    <w:rsid w:val="10080B22"/>
    <w:rsid w:val="10E16B8A"/>
    <w:rsid w:val="11171FDD"/>
    <w:rsid w:val="118D6E4D"/>
    <w:rsid w:val="11B500A4"/>
    <w:rsid w:val="134C29E0"/>
    <w:rsid w:val="142E4599"/>
    <w:rsid w:val="160B6B83"/>
    <w:rsid w:val="163460AA"/>
    <w:rsid w:val="18C745FF"/>
    <w:rsid w:val="1BB100D5"/>
    <w:rsid w:val="1BF75317"/>
    <w:rsid w:val="1C9F6277"/>
    <w:rsid w:val="1D9C251C"/>
    <w:rsid w:val="208F215E"/>
    <w:rsid w:val="210C37AF"/>
    <w:rsid w:val="21A27164"/>
    <w:rsid w:val="22527D8E"/>
    <w:rsid w:val="23D20CE0"/>
    <w:rsid w:val="23E72D7E"/>
    <w:rsid w:val="248F07C7"/>
    <w:rsid w:val="27FF5E1C"/>
    <w:rsid w:val="28C478E9"/>
    <w:rsid w:val="292530B3"/>
    <w:rsid w:val="2BA514B1"/>
    <w:rsid w:val="2C063D8C"/>
    <w:rsid w:val="2C8C29F9"/>
    <w:rsid w:val="2D89733C"/>
    <w:rsid w:val="2E6035EA"/>
    <w:rsid w:val="2EBC6814"/>
    <w:rsid w:val="2F5F7784"/>
    <w:rsid w:val="322813C9"/>
    <w:rsid w:val="32326DEE"/>
    <w:rsid w:val="33022B47"/>
    <w:rsid w:val="33B757FC"/>
    <w:rsid w:val="342C4CDD"/>
    <w:rsid w:val="3584346A"/>
    <w:rsid w:val="363907FC"/>
    <w:rsid w:val="39D50B1A"/>
    <w:rsid w:val="3A1C5BE3"/>
    <w:rsid w:val="3A320034"/>
    <w:rsid w:val="3B6224F2"/>
    <w:rsid w:val="3C645C82"/>
    <w:rsid w:val="3E7C063C"/>
    <w:rsid w:val="3F9B60B7"/>
    <w:rsid w:val="40A0560F"/>
    <w:rsid w:val="42D814DC"/>
    <w:rsid w:val="431E6CFC"/>
    <w:rsid w:val="434370AD"/>
    <w:rsid w:val="43650541"/>
    <w:rsid w:val="43686A12"/>
    <w:rsid w:val="43D63A7D"/>
    <w:rsid w:val="448046DC"/>
    <w:rsid w:val="44DD11E8"/>
    <w:rsid w:val="461A5272"/>
    <w:rsid w:val="468C2B19"/>
    <w:rsid w:val="46A43FAD"/>
    <w:rsid w:val="46BF5767"/>
    <w:rsid w:val="46CE1559"/>
    <w:rsid w:val="473531B0"/>
    <w:rsid w:val="47E95DD8"/>
    <w:rsid w:val="484206E1"/>
    <w:rsid w:val="48621D83"/>
    <w:rsid w:val="48B819A3"/>
    <w:rsid w:val="4B2D0092"/>
    <w:rsid w:val="4BA40904"/>
    <w:rsid w:val="4C9B52CF"/>
    <w:rsid w:val="4F3F4BCC"/>
    <w:rsid w:val="50462297"/>
    <w:rsid w:val="51556A98"/>
    <w:rsid w:val="557441D7"/>
    <w:rsid w:val="56CD30BE"/>
    <w:rsid w:val="5AAB09D3"/>
    <w:rsid w:val="5AE302FB"/>
    <w:rsid w:val="5DCA056C"/>
    <w:rsid w:val="60E2185B"/>
    <w:rsid w:val="60FF3A2A"/>
    <w:rsid w:val="61C65BD8"/>
    <w:rsid w:val="61F33C67"/>
    <w:rsid w:val="646A2293"/>
    <w:rsid w:val="64963088"/>
    <w:rsid w:val="64C97F9B"/>
    <w:rsid w:val="681C38A5"/>
    <w:rsid w:val="696A0640"/>
    <w:rsid w:val="6A4A435C"/>
    <w:rsid w:val="6BF54B38"/>
    <w:rsid w:val="6C661592"/>
    <w:rsid w:val="6CBF453F"/>
    <w:rsid w:val="6E0B0643"/>
    <w:rsid w:val="6EB01248"/>
    <w:rsid w:val="6EEB2223"/>
    <w:rsid w:val="6F082DD5"/>
    <w:rsid w:val="6F246143"/>
    <w:rsid w:val="6F353258"/>
    <w:rsid w:val="719721EE"/>
    <w:rsid w:val="71D25B3F"/>
    <w:rsid w:val="755C6A7B"/>
    <w:rsid w:val="767C7BC4"/>
    <w:rsid w:val="76F123A0"/>
    <w:rsid w:val="77246C9A"/>
    <w:rsid w:val="7771627B"/>
    <w:rsid w:val="785C7CED"/>
    <w:rsid w:val="788847E7"/>
    <w:rsid w:val="789369D3"/>
    <w:rsid w:val="79F226B7"/>
    <w:rsid w:val="7B276391"/>
    <w:rsid w:val="7D0E6FB7"/>
    <w:rsid w:val="7F0E7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880" w:firstLineChars="200"/>
      <w:jc w:val="both"/>
    </w:pPr>
    <w:rPr>
      <w:rFonts w:ascii="Times New Roman" w:hAnsi="Times New Roman" w:eastAsia="仿宋" w:cs="仿宋"/>
      <w:kern w:val="2"/>
      <w:sz w:val="32"/>
      <w:szCs w:val="32"/>
      <w:lang w:val="en-US" w:eastAsia="zh-CN" w:bidi="ar-SA"/>
    </w:rPr>
  </w:style>
  <w:style w:type="paragraph" w:styleId="7">
    <w:name w:val="heading 1"/>
    <w:basedOn w:val="1"/>
    <w:next w:val="1"/>
    <w:link w:val="16"/>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rPr>
      <w:rFonts w:ascii="Times New Roman" w:hAnsi="Times New Roman" w:eastAsia="仿宋"/>
    </w:rPr>
  </w:style>
  <w:style w:type="paragraph" w:styleId="3">
    <w:name w:val="Body Text"/>
    <w:basedOn w:val="1"/>
    <w:next w:val="4"/>
    <w:qFormat/>
    <w:uiPriority w:val="0"/>
    <w:pPr>
      <w:spacing w:after="120"/>
    </w:pPr>
  </w:style>
  <w:style w:type="paragraph" w:styleId="4">
    <w:name w:val="Body Text 2"/>
    <w:basedOn w:val="1"/>
    <w:qFormat/>
    <w:uiPriority w:val="99"/>
    <w:pPr>
      <w:numPr>
        <w:ilvl w:val="0"/>
        <w:numId w:val="1"/>
      </w:numPr>
      <w:spacing w:beforeLines="50" w:line="336" w:lineRule="auto"/>
      <w:ind w:firstLine="0"/>
    </w:pPr>
    <w:rPr>
      <w:rFonts w:eastAsia="黑体"/>
      <w:lang w:val="en-GB"/>
    </w:rPr>
  </w:style>
  <w:style w:type="paragraph" w:styleId="5">
    <w:name w:val="Body Text First Indent 2"/>
    <w:basedOn w:val="6"/>
    <w:next w:val="1"/>
    <w:qFormat/>
    <w:uiPriority w:val="99"/>
    <w:pPr>
      <w:spacing w:line="360" w:lineRule="auto"/>
      <w:ind w:firstLine="964"/>
    </w:pPr>
    <w:rPr>
      <w:rFonts w:ascii="Times New Roman" w:eastAsia="仿宋"/>
      <w:sz w:val="28"/>
      <w:szCs w:val="28"/>
    </w:rPr>
  </w:style>
  <w:style w:type="paragraph" w:styleId="6">
    <w:name w:val="Body Text Indent"/>
    <w:basedOn w:val="1"/>
    <w:qFormat/>
    <w:uiPriority w:val="99"/>
    <w:pPr>
      <w:ind w:firstLine="600"/>
    </w:pPr>
    <w:rPr>
      <w:rFonts w:ascii="仿宋_GB2312" w:eastAsia="仿宋_GB2312"/>
      <w:sz w:val="30"/>
      <w:szCs w:val="30"/>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Subtitle"/>
    <w:basedOn w:val="1"/>
    <w:next w:val="1"/>
    <w:qFormat/>
    <w:uiPriority w:val="0"/>
    <w:pPr>
      <w:widowControl/>
      <w:wordWrap w:val="0"/>
      <w:spacing w:after="60"/>
      <w:jc w:val="center"/>
    </w:pPr>
    <w:rPr>
      <w:sz w:val="24"/>
    </w:rPr>
  </w:style>
  <w:style w:type="paragraph" w:customStyle="1" w:styleId="14">
    <w:name w:val="Body Text 21"/>
    <w:basedOn w:val="1"/>
    <w:qFormat/>
    <w:uiPriority w:val="0"/>
    <w:pPr>
      <w:spacing w:line="480" w:lineRule="auto"/>
    </w:pPr>
  </w:style>
  <w:style w:type="paragraph" w:customStyle="1" w:styleId="15">
    <w:name w:val="封面大标题"/>
    <w:basedOn w:val="1"/>
    <w:qFormat/>
    <w:uiPriority w:val="0"/>
    <w:pPr>
      <w:spacing w:line="360" w:lineRule="auto"/>
      <w:ind w:firstLine="0" w:firstLineChars="0"/>
      <w:jc w:val="center"/>
    </w:pPr>
    <w:rPr>
      <w:rFonts w:ascii="仿宋_GB2312" w:hAnsi="仿宋_GB2312" w:eastAsia="黑体"/>
      <w:bCs/>
      <w:color w:val="auto"/>
      <w:sz w:val="52"/>
    </w:rPr>
  </w:style>
  <w:style w:type="character" w:customStyle="1" w:styleId="16">
    <w:name w:val="标题 1 Char"/>
    <w:link w:val="7"/>
    <w:qFormat/>
    <w:uiPriority w:val="0"/>
    <w:rPr>
      <w:b/>
      <w:kern w:val="44"/>
      <w:sz w:val="44"/>
    </w:rPr>
  </w:style>
  <w:style w:type="paragraph" w:customStyle="1" w:styleId="17">
    <w:name w:val="Default"/>
    <w:next w:val="11"/>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1425</Words>
  <Characters>1537</Characters>
  <Lines>0</Lines>
  <Paragraphs>0</Paragraphs>
  <TotalTime>0</TotalTime>
  <ScaleCrop>false</ScaleCrop>
  <LinksUpToDate>false</LinksUpToDate>
  <CharactersWithSpaces>1537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2021-11-02T06:30:00Z</dcterms:created>
  <dc:creator>Administrator</dc:creator>
  <cp:lastModifiedBy>鹏</cp:lastModifiedBy>
  <dcterms:modified xsi:type="dcterms:W3CDTF">2025-02-11T09:31:04Z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06A977CE7DF643EEA915075B067D0443_13</vt:lpwstr>
  </property>
  <property fmtid="{D5CDD505-2E9C-101B-9397-08002B2CF9AE}" pid="4" name="KSOTemplateDocerSaveRecord">
    <vt:lpwstr>eyJoZGlkIjoiNzNhMzFlYTRiYWE1ODk3ZTdkZDZmYTQ3YjgwOTE0NzIiLCJ1c2VySWQiOiI2Njk2MDMzMjYifQ==</vt:lpwstr>
  </property>
</Properties>
</file>