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43A10">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0" w:firstLineChars="0"/>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祥符区2022—2023年受灾困难群众冬春</w:t>
      </w:r>
      <w:bookmarkStart w:id="3" w:name="_GoBack"/>
      <w:bookmarkEnd w:id="3"/>
    </w:p>
    <w:p w14:paraId="4E48DC9D">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0" w:firstLineChars="0"/>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期间生活救助项目财政重点绩效评价报告</w:t>
      </w:r>
    </w:p>
    <w:p w14:paraId="744170A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一、项目概况</w:t>
      </w:r>
    </w:p>
    <w:p w14:paraId="5BAA6061">
      <w:pPr>
        <w:bidi w:val="0"/>
        <w:rPr>
          <w:rFonts w:hint="eastAsia"/>
          <w:lang w:val="en-US" w:eastAsia="zh-CN"/>
        </w:rPr>
      </w:pPr>
      <w:r>
        <w:rPr>
          <w:rFonts w:hint="eastAsia"/>
          <w:lang w:val="en-US" w:eastAsia="zh-CN"/>
        </w:rPr>
        <w:t>2022年，祥符区遭受多轮强降雨、雷暴大风等极端天气，全区受灾人口62356人，农作物受灾面积5941.87公顷，直接经济损失1807.42万元，给受灾困难群众的生产生活造成较大影响，受灾困难群众2022—2023年冬春期间基本生活面临一定困难。</w:t>
      </w:r>
    </w:p>
    <w:p w14:paraId="0969279C">
      <w:pPr>
        <w:bidi w:val="0"/>
        <w:rPr>
          <w:rFonts w:hint="eastAsia"/>
          <w:lang w:val="en-US" w:eastAsia="zh-CN"/>
        </w:rPr>
      </w:pPr>
      <w:r>
        <w:rPr>
          <w:rFonts w:hint="eastAsia" w:ascii="仿宋" w:hAnsi="仿宋" w:cs="仿宋"/>
          <w:sz w:val="32"/>
          <w:szCs w:val="32"/>
          <w:lang w:val="en-US" w:eastAsia="zh-CN"/>
        </w:rPr>
        <w:t>为</w:t>
      </w:r>
      <w:r>
        <w:rPr>
          <w:rFonts w:hint="eastAsia" w:ascii="仿宋" w:hAnsi="仿宋" w:eastAsia="仿宋" w:cs="仿宋"/>
          <w:sz w:val="32"/>
          <w:szCs w:val="32"/>
        </w:rPr>
        <w:t>深入贯彻落实习近平总书记关于防灾减灾救灾的重要指示精神</w:t>
      </w:r>
      <w:r>
        <w:rPr>
          <w:rFonts w:hint="eastAsia" w:ascii="仿宋" w:hAnsi="仿宋" w:cs="仿宋"/>
          <w:sz w:val="32"/>
          <w:szCs w:val="32"/>
          <w:lang w:eastAsia="zh-CN"/>
        </w:rPr>
        <w:t>，</w:t>
      </w:r>
      <w:r>
        <w:rPr>
          <w:rFonts w:hint="eastAsia" w:ascii="仿宋" w:hAnsi="仿宋" w:cs="仿宋"/>
          <w:sz w:val="32"/>
          <w:szCs w:val="32"/>
          <w:lang w:val="en-US" w:eastAsia="zh-CN"/>
        </w:rPr>
        <w:t>以及</w:t>
      </w:r>
      <w:r>
        <w:rPr>
          <w:rFonts w:hint="eastAsia" w:ascii="仿宋" w:hAnsi="仿宋" w:cs="仿宋"/>
          <w:sz w:val="32"/>
          <w:szCs w:val="32"/>
          <w:lang w:eastAsia="zh-CN"/>
        </w:rPr>
        <w:t>《河南省应急管理厅</w:t>
      </w:r>
      <w:r>
        <w:rPr>
          <w:rFonts w:hint="eastAsia" w:ascii="仿宋" w:hAnsi="仿宋" w:cs="仿宋"/>
          <w:sz w:val="32"/>
          <w:szCs w:val="32"/>
          <w:lang w:val="en-US" w:eastAsia="zh-CN"/>
        </w:rPr>
        <w:t xml:space="preserve"> </w:t>
      </w:r>
      <w:r>
        <w:rPr>
          <w:rFonts w:hint="eastAsia" w:ascii="仿宋" w:hAnsi="仿宋" w:cs="仿宋"/>
          <w:sz w:val="32"/>
          <w:szCs w:val="32"/>
          <w:lang w:eastAsia="zh-CN"/>
        </w:rPr>
        <w:t>河南省</w:t>
      </w:r>
      <w:r>
        <w:rPr>
          <w:rFonts w:hint="eastAsia" w:ascii="仿宋" w:hAnsi="仿宋" w:cs="仿宋"/>
          <w:sz w:val="32"/>
          <w:szCs w:val="32"/>
          <w:lang w:val="en-US" w:eastAsia="zh-CN"/>
        </w:rPr>
        <w:t>财政厅</w:t>
      </w:r>
      <w:r>
        <w:rPr>
          <w:rFonts w:hint="eastAsia" w:ascii="仿宋" w:hAnsi="仿宋" w:cs="仿宋"/>
          <w:sz w:val="32"/>
          <w:szCs w:val="32"/>
          <w:lang w:eastAsia="zh-CN"/>
        </w:rPr>
        <w:t>关于组织开展2022—2023年度全省受灾群众冬春救助工作的通知》，</w:t>
      </w:r>
      <w:r>
        <w:rPr>
          <w:rFonts w:hint="eastAsia" w:ascii="仿宋" w:hAnsi="仿宋" w:eastAsia="仿宋" w:cs="仿宋"/>
          <w:sz w:val="32"/>
          <w:szCs w:val="32"/>
        </w:rPr>
        <w:t>按照中央、省、市关于受灾群众基本生活保障工作的重要部署</w:t>
      </w:r>
      <w:r>
        <w:rPr>
          <w:rFonts w:hint="eastAsia" w:ascii="仿宋" w:hAnsi="仿宋" w:cs="仿宋"/>
          <w:sz w:val="32"/>
          <w:szCs w:val="32"/>
          <w:lang w:eastAsia="zh-CN"/>
        </w:rPr>
        <w:t>，</w:t>
      </w:r>
      <w:r>
        <w:rPr>
          <w:rFonts w:hint="eastAsia" w:ascii="仿宋" w:hAnsi="仿宋" w:cs="仿宋"/>
          <w:sz w:val="32"/>
          <w:szCs w:val="32"/>
          <w:lang w:val="en-US" w:eastAsia="zh-CN"/>
        </w:rPr>
        <w:t>区应急局以《开封市应急管理局 开封市财政局关于组织开展2022—2023年度全市受灾群众冬春救助工作的通知》为指导，</w:t>
      </w:r>
      <w:r>
        <w:rPr>
          <w:rFonts w:hint="eastAsia" w:ascii="仿宋" w:hAnsi="仿宋" w:eastAsia="仿宋" w:cs="仿宋"/>
          <w:sz w:val="32"/>
          <w:szCs w:val="32"/>
        </w:rPr>
        <w:t>扎实有序开展受灾群众冬春救助工作</w:t>
      </w:r>
      <w:r>
        <w:rPr>
          <w:rFonts w:hint="eastAsia" w:ascii="仿宋" w:hAnsi="仿宋" w:cs="仿宋"/>
          <w:sz w:val="32"/>
          <w:szCs w:val="32"/>
          <w:lang w:eastAsia="zh-CN"/>
        </w:rPr>
        <w:t>，</w:t>
      </w:r>
      <w:r>
        <w:rPr>
          <w:rFonts w:hint="eastAsia"/>
        </w:rPr>
        <w:t>帮助受灾困难群众解决基本生活保障</w:t>
      </w:r>
      <w:r>
        <w:rPr>
          <w:rFonts w:hint="eastAsia"/>
          <w:lang w:eastAsia="zh-CN"/>
        </w:rPr>
        <w:t>，</w:t>
      </w:r>
      <w:r>
        <w:rPr>
          <w:rFonts w:hint="eastAsia" w:ascii="仿宋" w:hAnsi="仿宋" w:cs="仿宋"/>
          <w:sz w:val="32"/>
          <w:szCs w:val="32"/>
          <w:lang w:val="en-US" w:eastAsia="zh-CN"/>
        </w:rPr>
        <w:t>以</w:t>
      </w:r>
      <w:r>
        <w:rPr>
          <w:rFonts w:hint="eastAsia" w:ascii="仿宋" w:hAnsi="仿宋" w:eastAsia="仿宋" w:cs="仿宋"/>
          <w:sz w:val="32"/>
          <w:szCs w:val="32"/>
        </w:rPr>
        <w:t>确保受灾群众基本生活稳定</w:t>
      </w:r>
      <w:r>
        <w:rPr>
          <w:rFonts w:hint="eastAsia" w:ascii="仿宋" w:hAnsi="仿宋" w:cs="仿宋"/>
          <w:sz w:val="32"/>
          <w:szCs w:val="32"/>
          <w:lang w:eastAsia="zh-CN"/>
        </w:rPr>
        <w:t>，</w:t>
      </w:r>
      <w:r>
        <w:rPr>
          <w:rFonts w:hint="eastAsia"/>
        </w:rPr>
        <w:t>增强受灾群众的获得感</w:t>
      </w:r>
      <w:r>
        <w:rPr>
          <w:rFonts w:hint="eastAsia"/>
          <w:lang w:eastAsia="zh-CN"/>
        </w:rPr>
        <w:t>、</w:t>
      </w:r>
      <w:r>
        <w:rPr>
          <w:rFonts w:hint="eastAsia"/>
        </w:rPr>
        <w:t>幸福感和安全感</w:t>
      </w:r>
      <w:r>
        <w:rPr>
          <w:rFonts w:hint="eastAsia" w:ascii="仿宋" w:hAnsi="仿宋" w:eastAsia="仿宋" w:cs="仿宋"/>
          <w:sz w:val="32"/>
          <w:szCs w:val="32"/>
        </w:rPr>
        <w:t>。</w:t>
      </w:r>
    </w:p>
    <w:p w14:paraId="22F904C3">
      <w:pPr>
        <w:bidi w:val="0"/>
        <w:rPr>
          <w:rFonts w:hint="eastAsia"/>
          <w:lang w:val="en-US" w:eastAsia="zh-CN"/>
        </w:rPr>
      </w:pPr>
      <w:r>
        <w:rPr>
          <w:rFonts w:hint="eastAsia"/>
          <w:lang w:val="en-US" w:eastAsia="zh-CN"/>
        </w:rPr>
        <w:t>项目总资金</w:t>
      </w:r>
      <w:r>
        <w:rPr>
          <w:rFonts w:hint="eastAsia"/>
          <w:highlight w:val="none"/>
          <w:lang w:val="en-US" w:eastAsia="zh-CN"/>
        </w:rPr>
        <w:t>285.3</w:t>
      </w:r>
      <w:r>
        <w:rPr>
          <w:rFonts w:hint="eastAsia"/>
          <w:lang w:val="en-US" w:eastAsia="zh-CN"/>
        </w:rPr>
        <w:t>万元，截至2023年12月31日，实际到位资金</w:t>
      </w:r>
      <w:r>
        <w:rPr>
          <w:rFonts w:hint="eastAsia"/>
          <w:highlight w:val="none"/>
          <w:lang w:val="en-US" w:eastAsia="zh-CN"/>
        </w:rPr>
        <w:t>285.3</w:t>
      </w:r>
      <w:r>
        <w:rPr>
          <w:rFonts w:hint="eastAsia"/>
          <w:lang w:val="en-US" w:eastAsia="zh-CN"/>
        </w:rPr>
        <w:t>万元，实际支付</w:t>
      </w:r>
      <w:r>
        <w:rPr>
          <w:rFonts w:hint="eastAsia"/>
          <w:highlight w:val="none"/>
          <w:lang w:val="en-US" w:eastAsia="zh-CN"/>
        </w:rPr>
        <w:t>285.3</w:t>
      </w:r>
      <w:r>
        <w:rPr>
          <w:rFonts w:hint="eastAsia"/>
          <w:lang w:val="en-US" w:eastAsia="zh-CN"/>
        </w:rPr>
        <w:t>万元。</w:t>
      </w:r>
    </w:p>
    <w:p w14:paraId="12A3264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二、评价结论</w:t>
      </w:r>
    </w:p>
    <w:p w14:paraId="27A00A19">
      <w:pPr>
        <w:bidi w:val="0"/>
        <w:rPr>
          <w:rFonts w:hint="eastAsia" w:ascii="仿宋_GB2312" w:hAnsi="仿宋_GB2312" w:eastAsia="仿宋_GB2312" w:cs="仿宋_GB2312"/>
          <w:szCs w:val="40"/>
          <w:lang w:val="en-US" w:eastAsia="zh-CN"/>
        </w:rPr>
      </w:pPr>
      <w:r>
        <w:rPr>
          <w:rFonts w:hint="eastAsia"/>
          <w:lang w:val="en-US" w:eastAsia="zh-CN"/>
        </w:rPr>
        <w:t>祥符区2022—2023年受灾困难群众冬春期间生活救助项目绩效评价综合得分86.35分，评价等级为“良”。</w:t>
      </w:r>
    </w:p>
    <w:p w14:paraId="4D43BBA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黑体" w:hAnsi="黑体" w:eastAsia="黑体" w:cs="黑体"/>
          <w:sz w:val="32"/>
          <w:szCs w:val="40"/>
          <w:highlight w:val="none"/>
          <w:lang w:val="en-US" w:eastAsia="zh-CN"/>
        </w:rPr>
      </w:pPr>
      <w:r>
        <w:rPr>
          <w:rFonts w:hint="eastAsia" w:ascii="黑体" w:hAnsi="黑体" w:eastAsia="黑体" w:cs="黑体"/>
          <w:sz w:val="32"/>
          <w:szCs w:val="40"/>
          <w:highlight w:val="none"/>
          <w:lang w:val="en-US" w:eastAsia="zh-CN"/>
        </w:rPr>
        <w:t>三、主要经验做法</w:t>
      </w:r>
    </w:p>
    <w:p w14:paraId="64112A22">
      <w:pPr>
        <w:bidi w:val="0"/>
        <w:rPr>
          <w:rFonts w:hint="eastAsia" w:ascii="仿宋_GB2312" w:hAnsi="仿宋_GB2312" w:eastAsia="仿宋_GB2312" w:cs="仿宋_GB2312"/>
          <w:szCs w:val="40"/>
          <w:lang w:val="en-US" w:eastAsia="zh-CN"/>
        </w:rPr>
      </w:pPr>
      <w:r>
        <w:rPr>
          <w:rFonts w:hint="eastAsia"/>
          <w:lang w:val="en-US" w:eastAsia="zh-CN"/>
        </w:rPr>
        <w:t>在确认救助人员及救助物资发放明细后，各村委会在公示栏公示救助资金及物资发放情况表，明确救助人员、救助资金发放数额及物资发放数量。根据调查问卷，调查的162名救助对象均不同程度地了解冬春政策和标准，且未发现救助对象投诉情况，救助对象对项目实施的综合满意度较高，为98.64%。</w:t>
      </w:r>
    </w:p>
    <w:p w14:paraId="632273D8">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四、存在的主要问题</w:t>
      </w:r>
    </w:p>
    <w:p w14:paraId="78B3ADCF">
      <w:pPr>
        <w:bidi w:val="0"/>
        <w:rPr>
          <w:rFonts w:hint="eastAsia"/>
          <w:lang w:val="en-US" w:eastAsia="zh-CN"/>
        </w:rPr>
      </w:pPr>
      <w:bookmarkStart w:id="0" w:name="_Toc24716"/>
      <w:r>
        <w:rPr>
          <w:rFonts w:hint="eastAsia"/>
          <w:lang w:val="en-US" w:eastAsia="zh-CN"/>
        </w:rPr>
        <w:t>（一）</w:t>
      </w:r>
      <w:bookmarkEnd w:id="0"/>
      <w:r>
        <w:rPr>
          <w:rFonts w:hint="eastAsia"/>
          <w:lang w:val="en-US" w:eastAsia="zh-CN"/>
        </w:rPr>
        <w:t>过程性资料归档不规范或不齐全，项目精细化管理水平有待提升。一是需救助人口一览表和已救助人口一览表统计口径不一致。二是</w:t>
      </w:r>
      <w:r>
        <w:rPr>
          <w:rFonts w:hint="eastAsia"/>
          <w:b w:val="0"/>
          <w:bCs w:val="0"/>
          <w:lang w:val="en-US" w:eastAsia="zh-CN"/>
        </w:rPr>
        <w:t>救助人口一览表折款登记不够准确。八里湾镇八里湾村有8人发放的为“棉被”，但由于工作人员登记错误，折款登记按照125元（防寒服）登记。</w:t>
      </w:r>
      <w:r>
        <w:rPr>
          <w:rFonts w:hint="eastAsia"/>
          <w:lang w:val="en-US" w:eastAsia="zh-CN"/>
        </w:rPr>
        <w:t>三是乡镇作为归档单位留存的资料内容要素不完整，如“受灾人员冬春生活困难救助审批表”中乡镇（街道）和区应急局审核意见处未填写时间。</w:t>
      </w:r>
    </w:p>
    <w:p w14:paraId="5794B0A1">
      <w:pPr>
        <w:bidi w:val="0"/>
        <w:rPr>
          <w:rFonts w:hint="eastAsia"/>
          <w:lang w:val="en-US" w:eastAsia="zh-CN"/>
        </w:rPr>
      </w:pPr>
      <w:r>
        <w:rPr>
          <w:rFonts w:hint="eastAsia"/>
          <w:lang w:val="en-US" w:eastAsia="zh-CN"/>
        </w:rPr>
        <w:t>（二）业务管理流程不规范，项目可持续性影响有待进一步发挥。一是在开展冬春救助资金及物资发放工作过程中，领取人签名及按手印这一流程开展不规范，如经访谈和查看已救助人员一览表，八里湾镇八里湾村救灾资金和物资均已发放，但领取人未签字按手印，签名一栏全部空缺；此外，还有部分乡镇“受灾人员冬春生活困难救助资金和物资发放表”存在只签字未按手印、名字签错等情况。二是实施方案中要求，各乡镇要“对冬春救助工作绩效进行总结、评估”，但项目涉及的13个乡镇均未按照实施方案要求在项目实施完成后对项目工作绩效进行总结评估。</w:t>
      </w:r>
    </w:p>
    <w:p w14:paraId="284A0EDB">
      <w:pPr>
        <w:bidi w:val="0"/>
        <w:rPr>
          <w:rFonts w:hint="eastAsia" w:ascii="仿宋_GB2312" w:hAnsi="仿宋_GB2312" w:eastAsia="仿宋_GB2312" w:cs="仿宋_GB2312"/>
          <w:szCs w:val="40"/>
          <w:lang w:val="en-US" w:eastAsia="zh-CN"/>
        </w:rPr>
      </w:pPr>
      <w:r>
        <w:rPr>
          <w:rFonts w:hint="eastAsia"/>
          <w:lang w:val="en-US" w:eastAsia="zh-CN"/>
        </w:rPr>
        <w:t>（三）项目绩效总体目标设置不完整，绩效管理水平有待提升。项目绩效目标表设置的年度总体目标为“保障需救助受灾困难群众冬春救助期间基本生活”，年度总体目标只设置了预期效果，未体现项目工作内容与产出，年度目标设置不完整。</w:t>
      </w:r>
    </w:p>
    <w:p w14:paraId="0EEE9EA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40"/>
          <w:lang w:val="en-US" w:eastAsia="zh-CN"/>
        </w:rPr>
      </w:pPr>
      <w:r>
        <w:rPr>
          <w:rFonts w:hint="eastAsia" w:ascii="黑体" w:hAnsi="黑体" w:eastAsia="黑体" w:cs="黑体"/>
          <w:sz w:val="32"/>
          <w:szCs w:val="40"/>
          <w:lang w:val="en-US" w:eastAsia="zh-CN"/>
        </w:rPr>
        <w:t>五、相关建议</w:t>
      </w:r>
    </w:p>
    <w:p w14:paraId="69C8D372">
      <w:pPr>
        <w:bidi w:val="0"/>
        <w:rPr>
          <w:rFonts w:hint="eastAsia"/>
          <w:lang w:val="en-US" w:eastAsia="zh-CN"/>
        </w:rPr>
      </w:pPr>
      <w:r>
        <w:rPr>
          <w:rFonts w:hint="eastAsia"/>
          <w:lang w:val="en-US" w:eastAsia="zh-CN"/>
        </w:rPr>
        <w:t>（一）加强监督管理，提升项目精细化管理水平。</w:t>
      </w:r>
      <w:bookmarkStart w:id="1" w:name="_Toc4680"/>
      <w:r>
        <w:rPr>
          <w:rFonts w:hint="eastAsia"/>
          <w:lang w:val="en-US" w:eastAsia="zh-CN"/>
        </w:rPr>
        <w:t>一是加强基层工作人员培训，明确填报流程，统一口径。二是提高填报准确率，加大基本信息审核力度。三是</w:t>
      </w:r>
      <w:r>
        <w:rPr>
          <w:rFonts w:hint="eastAsia" w:ascii="Times New Roman" w:hAnsi="Times New Roman"/>
          <w:color w:val="auto"/>
          <w:lang w:val="en-US" w:eastAsia="zh-CN"/>
        </w:rPr>
        <w:t>提升档案管理的规范性</w:t>
      </w:r>
      <w:r>
        <w:rPr>
          <w:rFonts w:hint="eastAsia" w:ascii="Times New Roman" w:hAnsi="Times New Roman"/>
          <w:color w:val="auto"/>
          <w:highlight w:val="none"/>
          <w:lang w:val="en-US" w:eastAsia="zh-CN"/>
        </w:rPr>
        <w:t>，保证入库档案完整无误，</w:t>
      </w:r>
      <w:r>
        <w:rPr>
          <w:rFonts w:hint="eastAsia" w:ascii="Times New Roman" w:hAnsi="Times New Roman"/>
          <w:color w:val="auto"/>
          <w:lang w:val="en-US" w:eastAsia="zh-CN"/>
        </w:rPr>
        <w:t>精确反映项目的实施情况。</w:t>
      </w:r>
    </w:p>
    <w:p w14:paraId="7E608487">
      <w:pPr>
        <w:bidi w:val="0"/>
        <w:rPr>
          <w:rFonts w:hint="eastAsia"/>
          <w:lang w:val="en-US" w:eastAsia="zh-CN"/>
        </w:rPr>
      </w:pPr>
      <w:r>
        <w:rPr>
          <w:rFonts w:hint="eastAsia"/>
          <w:lang w:val="en-US" w:eastAsia="zh-CN"/>
        </w:rPr>
        <w:t>（二）</w:t>
      </w:r>
      <w:bookmarkEnd w:id="1"/>
      <w:r>
        <w:rPr>
          <w:rFonts w:hint="eastAsia"/>
          <w:lang w:val="en-US" w:eastAsia="zh-CN"/>
        </w:rPr>
        <w:t>落实业务管理流程，加大检查验收力度。一是规范业务管理流程，提升项目实施资料的可追溯性和可信度。二是严格落实实施方案，进行总结评估工作，发挥项目的可持续性影响。</w:t>
      </w:r>
    </w:p>
    <w:p w14:paraId="7B878AE0">
      <w:pPr>
        <w:bidi w:val="0"/>
        <w:rPr>
          <w:rFonts w:hint="default" w:ascii="仿宋_GB2312" w:hAnsi="仿宋_GB2312" w:eastAsia="仿宋_GB2312" w:cs="仿宋_GB2312"/>
          <w:sz w:val="32"/>
          <w:szCs w:val="40"/>
          <w:lang w:val="en-US" w:eastAsia="zh-CN"/>
        </w:rPr>
      </w:pPr>
      <w:bookmarkStart w:id="2" w:name="_Toc6188"/>
      <w:r>
        <w:rPr>
          <w:rFonts w:hint="eastAsia"/>
          <w:lang w:val="en-US" w:eastAsia="zh-CN"/>
        </w:rPr>
        <w:t>（三）</w:t>
      </w:r>
      <w:bookmarkEnd w:id="2"/>
      <w:r>
        <w:rPr>
          <w:rFonts w:hint="eastAsia" w:ascii="Times New Roman" w:hAnsi="Times New Roman"/>
          <w:color w:val="auto"/>
          <w:lang w:val="en-US" w:eastAsia="zh-CN"/>
        </w:rPr>
        <w:t>强化绩效管理意识，</w:t>
      </w:r>
      <w:r>
        <w:rPr>
          <w:rFonts w:hint="eastAsia"/>
          <w:lang w:val="en-US" w:eastAsia="zh-CN"/>
        </w:rPr>
        <w:t>提升绩效管理水平。建议项目单位加强政策文件，以及相关绩效理论知识的学习，在设置年度目标时，应明确项目主要工作内容，总结概括出项目的总任务、总产出和总效益，为绩效指标的设置和项目开展提供指引。</w:t>
      </w: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6EA6B">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251247">
                          <w:pPr>
                            <w:pStyle w:val="8"/>
                            <w:rPr>
                              <w:rFonts w:hint="eastAsia" w:ascii="仿宋" w:hAnsi="仿宋" w:eastAsia="仿宋" w:cs="仿宋"/>
                              <w:sz w:val="21"/>
                              <w:szCs w:val="21"/>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251247">
                    <w:pPr>
                      <w:pStyle w:val="8"/>
                      <w:rPr>
                        <w:rFonts w:hint="eastAsia" w:ascii="仿宋" w:hAnsi="仿宋" w:eastAsia="仿宋" w:cs="仿宋"/>
                        <w:sz w:val="21"/>
                        <w:szCs w:val="21"/>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216F0"/>
    <w:multiLevelType w:val="multilevel"/>
    <w:tmpl w:val="1DA216F0"/>
    <w:lvl w:ilvl="0" w:tentative="0">
      <w:start w:val="1"/>
      <w:numFmt w:val="chineseCountingThousand"/>
      <w:pStyle w:val="4"/>
      <w:lvlText w:val="第%1章　"/>
      <w:lvlJc w:val="left"/>
      <w:pPr>
        <w:tabs>
          <w:tab w:val="left" w:pos="1440"/>
        </w:tabs>
        <w:ind w:left="1470" w:hanging="720"/>
      </w:pPr>
      <w:rPr>
        <w:rFonts w:hint="eastAsia" w:cs="Times New Roman"/>
        <w:sz w:val="32"/>
      </w:rPr>
    </w:lvl>
    <w:lvl w:ilvl="1" w:tentative="0">
      <w:start w:val="1"/>
      <w:numFmt w:val="lowerRoman"/>
      <w:lvlText w:val="(%2)"/>
      <w:lvlJc w:val="left"/>
      <w:pPr>
        <w:tabs>
          <w:tab w:val="left" w:pos="861"/>
        </w:tabs>
        <w:ind w:left="1611" w:hanging="720"/>
      </w:pPr>
      <w:rPr>
        <w:rFonts w:hint="eastAsia" w:cs="Times New Roman"/>
      </w:rPr>
    </w:lvl>
    <w:lvl w:ilvl="2" w:tentative="0">
      <w:start w:val="1"/>
      <w:numFmt w:val="lowerLetter"/>
      <w:lvlText w:val="(%3)"/>
      <w:lvlJc w:val="left"/>
      <w:pPr>
        <w:tabs>
          <w:tab w:val="left" w:pos="1335"/>
        </w:tabs>
        <w:ind w:left="2085" w:hanging="495"/>
      </w:pPr>
      <w:rPr>
        <w:rFonts w:hint="eastAsia" w:cs="Times New Roman"/>
      </w:rPr>
    </w:lvl>
    <w:lvl w:ilvl="3" w:tentative="0">
      <w:start w:val="1"/>
      <w:numFmt w:val="decimal"/>
      <w:lvlText w:val="%4."/>
      <w:lvlJc w:val="left"/>
      <w:pPr>
        <w:tabs>
          <w:tab w:val="left" w:pos="1680"/>
        </w:tabs>
        <w:ind w:left="2430" w:hanging="420"/>
      </w:pPr>
      <w:rPr>
        <w:rFonts w:cs="Times New Roman"/>
      </w:rPr>
    </w:lvl>
    <w:lvl w:ilvl="4" w:tentative="0">
      <w:start w:val="1"/>
      <w:numFmt w:val="lowerLetter"/>
      <w:lvlText w:val="%5)"/>
      <w:lvlJc w:val="left"/>
      <w:pPr>
        <w:tabs>
          <w:tab w:val="left" w:pos="2100"/>
        </w:tabs>
        <w:ind w:left="2850" w:hanging="420"/>
      </w:pPr>
      <w:rPr>
        <w:rFonts w:cs="Times New Roman"/>
      </w:rPr>
    </w:lvl>
    <w:lvl w:ilvl="5" w:tentative="0">
      <w:start w:val="1"/>
      <w:numFmt w:val="lowerRoman"/>
      <w:lvlText w:val="%6."/>
      <w:lvlJc w:val="right"/>
      <w:pPr>
        <w:tabs>
          <w:tab w:val="left" w:pos="2520"/>
        </w:tabs>
        <w:ind w:left="3270" w:hanging="420"/>
      </w:pPr>
      <w:rPr>
        <w:rFonts w:cs="Times New Roman"/>
      </w:rPr>
    </w:lvl>
    <w:lvl w:ilvl="6" w:tentative="0">
      <w:start w:val="1"/>
      <w:numFmt w:val="decimal"/>
      <w:lvlText w:val="%7."/>
      <w:lvlJc w:val="left"/>
      <w:pPr>
        <w:tabs>
          <w:tab w:val="left" w:pos="2940"/>
        </w:tabs>
        <w:ind w:left="3690" w:hanging="420"/>
      </w:pPr>
      <w:rPr>
        <w:rFonts w:cs="Times New Roman"/>
      </w:rPr>
    </w:lvl>
    <w:lvl w:ilvl="7" w:tentative="0">
      <w:start w:val="1"/>
      <w:numFmt w:val="lowerLetter"/>
      <w:lvlText w:val="%8)"/>
      <w:lvlJc w:val="left"/>
      <w:pPr>
        <w:tabs>
          <w:tab w:val="left" w:pos="3360"/>
        </w:tabs>
        <w:ind w:left="4110" w:hanging="420"/>
      </w:pPr>
      <w:rPr>
        <w:rFonts w:cs="Times New Roman"/>
      </w:rPr>
    </w:lvl>
    <w:lvl w:ilvl="8" w:tentative="0">
      <w:start w:val="1"/>
      <w:numFmt w:val="lowerRoman"/>
      <w:lvlText w:val="%9."/>
      <w:lvlJc w:val="right"/>
      <w:pPr>
        <w:tabs>
          <w:tab w:val="left" w:pos="3780"/>
        </w:tabs>
        <w:ind w:left="453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4YWZjY2Q4OGJiMmRlN2YyMmJlMDA4ZWQ3YjU2YzkifQ=="/>
    <w:docVar w:name="KSO_WPS_MARK_KEY" w:val="909733b4-b602-4df0-acc4-9d4147cb27d7"/>
  </w:docVars>
  <w:rsids>
    <w:rsidRoot w:val="00000000"/>
    <w:rsid w:val="013712F7"/>
    <w:rsid w:val="03990047"/>
    <w:rsid w:val="047962FF"/>
    <w:rsid w:val="055661F0"/>
    <w:rsid w:val="05991311"/>
    <w:rsid w:val="05D37841"/>
    <w:rsid w:val="0B8615FF"/>
    <w:rsid w:val="0BC84002"/>
    <w:rsid w:val="0E4A08BC"/>
    <w:rsid w:val="0E601E8E"/>
    <w:rsid w:val="10080B22"/>
    <w:rsid w:val="142E4599"/>
    <w:rsid w:val="163460AA"/>
    <w:rsid w:val="1A7C0FB0"/>
    <w:rsid w:val="1BF75317"/>
    <w:rsid w:val="1CDA72AF"/>
    <w:rsid w:val="1F5A46D7"/>
    <w:rsid w:val="21A27164"/>
    <w:rsid w:val="23D20CE0"/>
    <w:rsid w:val="23E72D7E"/>
    <w:rsid w:val="2661459D"/>
    <w:rsid w:val="27FF5E1C"/>
    <w:rsid w:val="292530B3"/>
    <w:rsid w:val="2AFE4289"/>
    <w:rsid w:val="2BD870AF"/>
    <w:rsid w:val="2C5C1A8E"/>
    <w:rsid w:val="2C8C29F9"/>
    <w:rsid w:val="2D89733C"/>
    <w:rsid w:val="2EBC6814"/>
    <w:rsid w:val="33022B47"/>
    <w:rsid w:val="363907FC"/>
    <w:rsid w:val="38D46E50"/>
    <w:rsid w:val="3A320034"/>
    <w:rsid w:val="3F9B60B7"/>
    <w:rsid w:val="43650541"/>
    <w:rsid w:val="452A5409"/>
    <w:rsid w:val="46BF5767"/>
    <w:rsid w:val="48621D83"/>
    <w:rsid w:val="4B2D0092"/>
    <w:rsid w:val="4C9B52CF"/>
    <w:rsid w:val="555E7D76"/>
    <w:rsid w:val="5A3F0176"/>
    <w:rsid w:val="5B7433AA"/>
    <w:rsid w:val="61F33C67"/>
    <w:rsid w:val="63DF6526"/>
    <w:rsid w:val="646A2293"/>
    <w:rsid w:val="64963088"/>
    <w:rsid w:val="66D63C10"/>
    <w:rsid w:val="6BF54B38"/>
    <w:rsid w:val="6DEA61F3"/>
    <w:rsid w:val="6E0B0643"/>
    <w:rsid w:val="6EB01248"/>
    <w:rsid w:val="6F353258"/>
    <w:rsid w:val="767C7BC4"/>
    <w:rsid w:val="77246C9A"/>
    <w:rsid w:val="785C7CED"/>
    <w:rsid w:val="7C494DE5"/>
    <w:rsid w:val="7D0E6FB7"/>
    <w:rsid w:val="7DD722F0"/>
    <w:rsid w:val="7E891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880" w:firstLineChars="200"/>
      <w:jc w:val="both"/>
    </w:pPr>
    <w:rPr>
      <w:rFonts w:ascii="Times New Roman" w:hAnsi="Times New Roman" w:eastAsia="仿宋" w:cs="仿宋"/>
      <w:kern w:val="2"/>
      <w:sz w:val="32"/>
      <w:szCs w:val="32"/>
      <w:lang w:val="en-US" w:eastAsia="zh-CN" w:bidi="ar-SA"/>
    </w:rPr>
  </w:style>
  <w:style w:type="paragraph" w:styleId="7">
    <w:name w:val="heading 3"/>
    <w:basedOn w:val="1"/>
    <w:next w:val="1"/>
    <w:unhideWhenUsed/>
    <w:qFormat/>
    <w:uiPriority w:val="0"/>
    <w:pPr>
      <w:ind w:firstLine="640"/>
      <w:outlineLvl w:val="2"/>
    </w:pPr>
    <w:rPr>
      <w:rFonts w:ascii="Times New Roman" w:hAnsi="Times New Roman"/>
      <w:b/>
      <w:bCs/>
      <w:snapToGrid w:val="0"/>
      <w:kern w:val="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uiPriority w:val="0"/>
    <w:pPr>
      <w:ind w:firstLine="420" w:firstLineChars="100"/>
    </w:pPr>
  </w:style>
  <w:style w:type="paragraph" w:styleId="3">
    <w:name w:val="Body Text"/>
    <w:basedOn w:val="1"/>
    <w:next w:val="4"/>
    <w:uiPriority w:val="0"/>
    <w:pPr>
      <w:spacing w:after="120" w:afterLines="0" w:afterAutospacing="0"/>
    </w:pPr>
  </w:style>
  <w:style w:type="paragraph" w:styleId="4">
    <w:name w:val="Body Text 2"/>
    <w:basedOn w:val="1"/>
    <w:next w:val="3"/>
    <w:qFormat/>
    <w:uiPriority w:val="99"/>
    <w:pPr>
      <w:numPr>
        <w:ilvl w:val="0"/>
        <w:numId w:val="1"/>
      </w:numPr>
      <w:spacing w:beforeLines="50" w:line="336" w:lineRule="auto"/>
      <w:ind w:firstLine="0"/>
    </w:pPr>
    <w:rPr>
      <w:rFonts w:eastAsia="黑体"/>
      <w:lang w:val="en-GB"/>
    </w:rPr>
  </w:style>
  <w:style w:type="paragraph" w:styleId="5">
    <w:name w:val="Body Text First Indent 2"/>
    <w:basedOn w:val="6"/>
    <w:next w:val="1"/>
    <w:qFormat/>
    <w:uiPriority w:val="99"/>
    <w:pPr>
      <w:spacing w:line="360" w:lineRule="auto"/>
      <w:ind w:firstLine="964"/>
    </w:pPr>
    <w:rPr>
      <w:rFonts w:ascii="Times New Roman" w:eastAsia="仿宋"/>
      <w:sz w:val="28"/>
      <w:szCs w:val="28"/>
    </w:rPr>
  </w:style>
  <w:style w:type="paragraph" w:styleId="6">
    <w:name w:val="Body Text Indent"/>
    <w:basedOn w:val="1"/>
    <w:qFormat/>
    <w:uiPriority w:val="99"/>
    <w:pPr>
      <w:ind w:firstLine="600"/>
    </w:pPr>
    <w:rPr>
      <w:rFonts w:ascii="仿宋_GB2312" w:eastAsia="仿宋_GB2312"/>
      <w:sz w:val="30"/>
      <w:szCs w:val="3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封面大标题"/>
    <w:basedOn w:val="1"/>
    <w:qFormat/>
    <w:uiPriority w:val="0"/>
    <w:pPr>
      <w:spacing w:line="360" w:lineRule="auto"/>
      <w:ind w:firstLine="0" w:firstLineChars="0"/>
      <w:jc w:val="center"/>
    </w:pPr>
    <w:rPr>
      <w:rFonts w:ascii="仿宋_GB2312" w:hAnsi="仿宋_GB2312" w:eastAsia="黑体"/>
      <w:bCs/>
      <w:color w:val="auto"/>
      <w:sz w:val="5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1434</Words>
  <Characters>1514</Characters>
  <Lines>0</Lines>
  <Paragraphs>0</Paragraphs>
  <TotalTime>1</TotalTime>
  <ScaleCrop>false</ScaleCrop>
  <LinksUpToDate>false</LinksUpToDate>
  <CharactersWithSpaces>1516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2021-11-02T06:30:00Z</dcterms:created>
  <dc:creator>Administrator</dc:creator>
  <cp:lastModifiedBy>鹏</cp:lastModifiedBy>
  <dcterms:modified xsi:type="dcterms:W3CDTF">2025-02-11T09:32:16Z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7478F1E00907471C8423A2CEF526D138</vt:lpwstr>
  </property>
  <property fmtid="{D5CDD505-2E9C-101B-9397-08002B2CF9AE}" pid="4" name="KSOTemplateDocerSaveRecord">
    <vt:lpwstr>eyJoZGlkIjoiNzNhMzFlYTRiYWE1ODk3ZTdkZDZmYTQ3YjgwOTE0NzIiLCJ1c2VySWQiOiI2Njk2MDMzMjYifQ==</vt:lpwstr>
  </property>
</Properties>
</file>