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0BD48">
      <w:pPr>
        <w:spacing w:line="249" w:lineRule="auto"/>
        <w:rPr>
          <w:rFonts w:ascii="Arial"/>
          <w:sz w:val="21"/>
        </w:rPr>
      </w:pPr>
    </w:p>
    <w:p w14:paraId="1DA06F1D">
      <w:pPr>
        <w:spacing w:line="249" w:lineRule="auto"/>
        <w:rPr>
          <w:rFonts w:ascii="Arial"/>
          <w:sz w:val="21"/>
        </w:rPr>
      </w:pPr>
    </w:p>
    <w:p w14:paraId="237F4067">
      <w:pPr>
        <w:spacing w:line="249" w:lineRule="auto"/>
        <w:rPr>
          <w:rFonts w:ascii="Arial"/>
          <w:sz w:val="21"/>
        </w:rPr>
      </w:pPr>
    </w:p>
    <w:p w14:paraId="45913347">
      <w:pPr>
        <w:spacing w:before="140" w:line="224" w:lineRule="auto"/>
        <w:ind w:left="2238"/>
        <w:outlineLvl w:val="0"/>
        <w:rPr>
          <w:rFonts w:ascii="宋体" w:hAnsi="宋体" w:eastAsia="宋体" w:cs="宋体"/>
          <w:sz w:val="43"/>
          <w:szCs w:val="43"/>
        </w:rPr>
      </w:pPr>
      <w:r>
        <w:rPr>
          <w:rFonts w:hint="eastAsia" w:ascii="宋体" w:hAnsi="宋体" w:eastAsia="宋体" w:cs="宋体"/>
          <w:b/>
          <w:bCs/>
          <w:spacing w:val="6"/>
          <w:sz w:val="43"/>
          <w:szCs w:val="43"/>
          <w:lang w:eastAsia="zh-CN"/>
        </w:rPr>
        <w:t>开封市祥符区市场监督管理局</w:t>
      </w:r>
      <w:r>
        <w:rPr>
          <w:rFonts w:ascii="宋体" w:hAnsi="宋体" w:eastAsia="宋体" w:cs="宋体"/>
          <w:b/>
          <w:bCs/>
          <w:spacing w:val="6"/>
          <w:sz w:val="43"/>
          <w:szCs w:val="43"/>
        </w:rPr>
        <w:t>行政执法权责清单、岗责体系</w:t>
      </w:r>
    </w:p>
    <w:p w14:paraId="5C41E243">
      <w:pPr>
        <w:spacing w:before="154" w:line="225" w:lineRule="auto"/>
        <w:ind w:left="5111"/>
        <w:outlineLvl w:val="0"/>
        <w:rPr>
          <w:rFonts w:ascii="宋体" w:hAnsi="宋体" w:eastAsia="宋体" w:cs="宋体"/>
          <w:sz w:val="35"/>
          <w:szCs w:val="35"/>
        </w:rPr>
      </w:pPr>
      <w:r>
        <w:rPr>
          <w:rFonts w:ascii="宋体" w:hAnsi="宋体" w:eastAsia="宋体" w:cs="宋体"/>
          <w:b/>
          <w:bCs/>
          <w:sz w:val="35"/>
          <w:szCs w:val="35"/>
        </w:rPr>
        <w:t>（三）行政强制类（共</w:t>
      </w:r>
      <w:r>
        <w:rPr>
          <w:rFonts w:ascii="宋体" w:hAnsi="宋体" w:eastAsia="宋体" w:cs="宋体"/>
          <w:spacing w:val="-49"/>
          <w:sz w:val="35"/>
          <w:szCs w:val="35"/>
        </w:rPr>
        <w:t xml:space="preserve"> </w:t>
      </w:r>
      <w:r>
        <w:rPr>
          <w:rFonts w:ascii="宋体" w:hAnsi="宋体" w:eastAsia="宋体" w:cs="宋体"/>
          <w:b/>
          <w:bCs/>
          <w:sz w:val="35"/>
          <w:szCs w:val="35"/>
        </w:rPr>
        <w:t>31</w:t>
      </w:r>
      <w:r>
        <w:rPr>
          <w:rFonts w:ascii="宋体" w:hAnsi="宋体" w:eastAsia="宋体" w:cs="宋体"/>
          <w:spacing w:val="-66"/>
          <w:sz w:val="35"/>
          <w:szCs w:val="35"/>
        </w:rPr>
        <w:t xml:space="preserve"> </w:t>
      </w:r>
      <w:r>
        <w:rPr>
          <w:rFonts w:ascii="宋体" w:hAnsi="宋体" w:eastAsia="宋体" w:cs="宋体"/>
          <w:b/>
          <w:bCs/>
          <w:sz w:val="35"/>
          <w:szCs w:val="35"/>
        </w:rPr>
        <w:t>项）</w:t>
      </w:r>
    </w:p>
    <w:p w14:paraId="1F7FFD54">
      <w:pPr>
        <w:spacing w:before="15"/>
      </w:pPr>
    </w:p>
    <w:p w14:paraId="5D1BE633">
      <w:pPr>
        <w:spacing w:before="1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59"/>
        <w:gridCol w:w="4188"/>
        <w:gridCol w:w="7078"/>
        <w:gridCol w:w="2003"/>
      </w:tblGrid>
      <w:tr w14:paraId="07D9B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0BFB76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BA98DCF">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59" w:type="dxa"/>
            <w:vAlign w:val="top"/>
          </w:tcPr>
          <w:p w14:paraId="195F4286">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188" w:type="dxa"/>
            <w:vAlign w:val="top"/>
          </w:tcPr>
          <w:p w14:paraId="5AEF20A5">
            <w:pPr>
              <w:spacing w:before="189" w:line="228" w:lineRule="auto"/>
              <w:ind w:left="1682"/>
              <w:rPr>
                <w:rFonts w:ascii="宋体" w:hAnsi="宋体" w:eastAsia="宋体" w:cs="宋体"/>
                <w:sz w:val="20"/>
                <w:szCs w:val="20"/>
              </w:rPr>
            </w:pPr>
            <w:r>
              <w:rPr>
                <w:rFonts w:ascii="宋体" w:hAnsi="宋体" w:eastAsia="宋体" w:cs="宋体"/>
                <w:b/>
                <w:bCs/>
                <w:spacing w:val="5"/>
                <w:sz w:val="20"/>
                <w:szCs w:val="20"/>
              </w:rPr>
              <w:t>实施依据</w:t>
            </w:r>
          </w:p>
        </w:tc>
        <w:tc>
          <w:tcPr>
            <w:tcW w:w="7078" w:type="dxa"/>
            <w:vAlign w:val="top"/>
          </w:tcPr>
          <w:p w14:paraId="412CCAF6">
            <w:pPr>
              <w:spacing w:before="190" w:line="228" w:lineRule="auto"/>
              <w:ind w:left="2551"/>
              <w:rPr>
                <w:rFonts w:ascii="宋体" w:hAnsi="宋体" w:eastAsia="宋体" w:cs="宋体"/>
                <w:sz w:val="20"/>
                <w:szCs w:val="20"/>
              </w:rPr>
            </w:pPr>
            <w:r>
              <w:rPr>
                <w:rFonts w:ascii="宋体" w:hAnsi="宋体" w:eastAsia="宋体" w:cs="宋体"/>
                <w:b/>
                <w:bCs/>
                <w:spacing w:val="6"/>
                <w:sz w:val="20"/>
                <w:szCs w:val="20"/>
              </w:rPr>
              <w:t>责任事项（岗位责任)</w:t>
            </w:r>
          </w:p>
        </w:tc>
        <w:tc>
          <w:tcPr>
            <w:tcW w:w="2003" w:type="dxa"/>
            <w:vAlign w:val="top"/>
          </w:tcPr>
          <w:p w14:paraId="6AE320D3">
            <w:pPr>
              <w:spacing w:before="190" w:line="228" w:lineRule="auto"/>
              <w:ind w:left="585"/>
              <w:rPr>
                <w:rFonts w:ascii="宋体" w:hAnsi="宋体" w:eastAsia="宋体" w:cs="宋体"/>
                <w:sz w:val="20"/>
                <w:szCs w:val="20"/>
              </w:rPr>
            </w:pPr>
            <w:r>
              <w:rPr>
                <w:rFonts w:ascii="宋体" w:hAnsi="宋体" w:eastAsia="宋体" w:cs="宋体"/>
                <w:b/>
                <w:bCs/>
                <w:spacing w:val="6"/>
                <w:sz w:val="20"/>
                <w:szCs w:val="20"/>
              </w:rPr>
              <w:t>违法责任</w:t>
            </w:r>
          </w:p>
        </w:tc>
      </w:tr>
      <w:tr w14:paraId="612FA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724" w:type="dxa"/>
            <w:vMerge w:val="restart"/>
            <w:tcBorders>
              <w:bottom w:val="nil"/>
            </w:tcBorders>
            <w:textDirection w:val="tbRlV"/>
            <w:vAlign w:val="top"/>
          </w:tcPr>
          <w:p w14:paraId="5B6A1E96">
            <w:pPr>
              <w:pStyle w:val="6"/>
              <w:spacing w:before="255" w:line="213" w:lineRule="auto"/>
              <w:ind w:left="1863"/>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59" w:type="dxa"/>
            <w:vMerge w:val="restart"/>
            <w:tcBorders>
              <w:bottom w:val="nil"/>
            </w:tcBorders>
            <w:vAlign w:val="top"/>
          </w:tcPr>
          <w:p w14:paraId="29595CD4">
            <w:pPr>
              <w:spacing w:line="247" w:lineRule="auto"/>
              <w:rPr>
                <w:rFonts w:ascii="Arial"/>
                <w:sz w:val="21"/>
              </w:rPr>
            </w:pPr>
          </w:p>
          <w:p w14:paraId="0CB7ED14">
            <w:pPr>
              <w:spacing w:line="247" w:lineRule="auto"/>
              <w:rPr>
                <w:rFonts w:ascii="Arial"/>
                <w:sz w:val="21"/>
              </w:rPr>
            </w:pPr>
          </w:p>
          <w:p w14:paraId="755C8A28">
            <w:pPr>
              <w:spacing w:line="247" w:lineRule="auto"/>
              <w:rPr>
                <w:rFonts w:ascii="Arial"/>
                <w:sz w:val="21"/>
              </w:rPr>
            </w:pPr>
          </w:p>
          <w:p w14:paraId="10A499F5">
            <w:pPr>
              <w:spacing w:line="247" w:lineRule="auto"/>
              <w:rPr>
                <w:rFonts w:ascii="Arial"/>
                <w:sz w:val="21"/>
              </w:rPr>
            </w:pPr>
          </w:p>
          <w:p w14:paraId="5C8C7E7F">
            <w:pPr>
              <w:spacing w:line="247" w:lineRule="auto"/>
              <w:rPr>
                <w:rFonts w:ascii="Arial"/>
                <w:sz w:val="21"/>
              </w:rPr>
            </w:pPr>
          </w:p>
          <w:p w14:paraId="03AAB713">
            <w:pPr>
              <w:spacing w:line="247" w:lineRule="auto"/>
              <w:rPr>
                <w:rFonts w:ascii="Arial"/>
                <w:sz w:val="21"/>
              </w:rPr>
            </w:pPr>
          </w:p>
          <w:p w14:paraId="2B0BAA03">
            <w:pPr>
              <w:spacing w:line="248" w:lineRule="auto"/>
              <w:rPr>
                <w:rFonts w:ascii="Arial"/>
                <w:sz w:val="21"/>
              </w:rPr>
            </w:pPr>
          </w:p>
          <w:p w14:paraId="020780C8">
            <w:pPr>
              <w:pStyle w:val="6"/>
              <w:spacing w:before="62" w:line="310" w:lineRule="auto"/>
              <w:ind w:left="111" w:right="152" w:firstLine="12"/>
              <w:jc w:val="both"/>
            </w:pPr>
            <w:r>
              <w:rPr>
                <w:spacing w:val="4"/>
              </w:rPr>
              <w:t>1.查封、扣</w:t>
            </w:r>
            <w:r>
              <w:rPr>
                <w:spacing w:val="8"/>
              </w:rPr>
              <w:t>押侵犯他人注册商标专用权的物品</w:t>
            </w:r>
          </w:p>
        </w:tc>
        <w:tc>
          <w:tcPr>
            <w:tcW w:w="4188" w:type="dxa"/>
            <w:vMerge w:val="restart"/>
            <w:tcBorders>
              <w:bottom w:val="nil"/>
            </w:tcBorders>
            <w:vAlign w:val="top"/>
          </w:tcPr>
          <w:p w14:paraId="17CC9759">
            <w:pPr>
              <w:pStyle w:val="6"/>
              <w:spacing w:before="206" w:line="310" w:lineRule="auto"/>
              <w:ind w:left="106" w:right="106" w:firstLine="2"/>
            </w:pPr>
            <w:r>
              <w:rPr>
                <w:spacing w:val="6"/>
              </w:rPr>
              <w:t>《中华人民共和国商标法》第六十二条：</w:t>
            </w:r>
            <w:r>
              <w:rPr>
                <w:spacing w:val="-49"/>
              </w:rPr>
              <w:t xml:space="preserve"> </w:t>
            </w:r>
            <w:r>
              <w:rPr>
                <w:spacing w:val="6"/>
              </w:rPr>
              <w:t>“县</w:t>
            </w:r>
            <w:r>
              <w:rPr>
                <w:spacing w:val="9"/>
              </w:rPr>
              <w:t>级以上工商行政管理部门根据已经取得的违</w:t>
            </w:r>
            <w:r>
              <w:rPr>
                <w:spacing w:val="8"/>
              </w:rPr>
              <w:t>法嫌疑证据或者举报，对涉嫌侵犯他人注册商标专用权的行为进行查处时，可以行使下列职</w:t>
            </w:r>
            <w:r>
              <w:rPr>
                <w:spacing w:val="7"/>
              </w:rPr>
              <w:t>权</w:t>
            </w:r>
            <w:r>
              <w:rPr>
                <w:spacing w:val="-3"/>
              </w:rPr>
              <w:t>：（</w:t>
            </w:r>
            <w:r>
              <w:rPr>
                <w:spacing w:val="-46"/>
              </w:rPr>
              <w:t xml:space="preserve"> </w:t>
            </w:r>
            <w:r>
              <w:rPr>
                <w:spacing w:val="7"/>
              </w:rPr>
              <w:t>一）询问有关当事人，调查与侵犯他人</w:t>
            </w:r>
            <w:r>
              <w:rPr>
                <w:spacing w:val="8"/>
              </w:rPr>
              <w:t>注册商标专用权有关的情况</w:t>
            </w:r>
            <w:r>
              <w:rPr>
                <w:spacing w:val="-11"/>
              </w:rPr>
              <w:t>；（</w:t>
            </w:r>
            <w:r>
              <w:rPr>
                <w:spacing w:val="-48"/>
              </w:rPr>
              <w:t xml:space="preserve"> </w:t>
            </w:r>
            <w:r>
              <w:rPr>
                <w:spacing w:val="8"/>
              </w:rPr>
              <w:t>二）查阅、复制当事人与侵权活动有关的合同、发票、账簿</w:t>
            </w:r>
            <w:r>
              <w:rPr>
                <w:spacing w:val="7"/>
              </w:rPr>
              <w:t>以及其他有关资料</w:t>
            </w:r>
            <w:r>
              <w:rPr>
                <w:spacing w:val="-5"/>
              </w:rPr>
              <w:t>；（</w:t>
            </w:r>
            <w:r>
              <w:rPr>
                <w:spacing w:val="-42"/>
              </w:rPr>
              <w:t xml:space="preserve"> </w:t>
            </w:r>
            <w:r>
              <w:rPr>
                <w:spacing w:val="7"/>
              </w:rPr>
              <w:t>三）对当事人涉嫌从事</w:t>
            </w:r>
            <w:r>
              <w:rPr>
                <w:spacing w:val="9"/>
              </w:rPr>
              <w:t>侵犯他人注册商标专用权活动的场所实施现</w:t>
            </w:r>
            <w:r>
              <w:rPr>
                <w:spacing w:val="6"/>
              </w:rPr>
              <w:t>场检查</w:t>
            </w:r>
            <w:r>
              <w:rPr>
                <w:spacing w:val="-1"/>
              </w:rPr>
              <w:t>；（</w:t>
            </w:r>
            <w:r>
              <w:rPr>
                <w:spacing w:val="-32"/>
              </w:rPr>
              <w:t xml:space="preserve"> </w:t>
            </w:r>
            <w:r>
              <w:rPr>
                <w:spacing w:val="6"/>
              </w:rPr>
              <w:t>四）检查与侵权活动有关的物品；</w:t>
            </w:r>
            <w:r>
              <w:rPr>
                <w:spacing w:val="9"/>
              </w:rPr>
              <w:t>对有证据证明是侵犯他人注册商标专用权的</w:t>
            </w:r>
            <w:r>
              <w:rPr>
                <w:spacing w:val="8"/>
              </w:rPr>
              <w:t>物品，可以查封或者扣押。工商行政管理部门依法行使前款规定的职权时，当事人应当予以</w:t>
            </w:r>
            <w:r>
              <w:rPr>
                <w:spacing w:val="10"/>
              </w:rPr>
              <w:t>协助、配合，不得拒绝、</w:t>
            </w:r>
            <w:r>
              <w:rPr>
                <w:spacing w:val="-39"/>
              </w:rPr>
              <w:t xml:space="preserve"> </w:t>
            </w:r>
            <w:r>
              <w:rPr>
                <w:spacing w:val="10"/>
              </w:rPr>
              <w:t>阻挠。</w:t>
            </w:r>
            <w:r>
              <w:rPr>
                <w:spacing w:val="-59"/>
              </w:rPr>
              <w:t xml:space="preserve"> </w:t>
            </w:r>
            <w:r>
              <w:rPr>
                <w:spacing w:val="10"/>
              </w:rPr>
              <w:t>”</w:t>
            </w:r>
          </w:p>
        </w:tc>
        <w:tc>
          <w:tcPr>
            <w:tcW w:w="7078" w:type="dxa"/>
            <w:vAlign w:val="top"/>
          </w:tcPr>
          <w:p w14:paraId="2CF7B86B">
            <w:pPr>
              <w:spacing w:line="265" w:lineRule="auto"/>
              <w:rPr>
                <w:rFonts w:ascii="Arial"/>
                <w:sz w:val="21"/>
              </w:rPr>
            </w:pPr>
          </w:p>
          <w:p w14:paraId="1E1B8977">
            <w:pPr>
              <w:pStyle w:val="6"/>
              <w:spacing w:before="62" w:line="224" w:lineRule="auto"/>
              <w:ind w:left="125"/>
            </w:pPr>
            <w:r>
              <w:rPr>
                <w:spacing w:val="8"/>
              </w:rPr>
              <w:t>1、核实违法事实，报行政机关负责人批准。</w:t>
            </w:r>
          </w:p>
        </w:tc>
        <w:tc>
          <w:tcPr>
            <w:tcW w:w="2003" w:type="dxa"/>
            <w:vMerge w:val="restart"/>
            <w:tcBorders>
              <w:bottom w:val="nil"/>
            </w:tcBorders>
            <w:vAlign w:val="top"/>
          </w:tcPr>
          <w:p w14:paraId="6E1D8CBF">
            <w:pPr>
              <w:spacing w:line="272" w:lineRule="auto"/>
              <w:rPr>
                <w:rFonts w:ascii="Arial"/>
                <w:sz w:val="21"/>
              </w:rPr>
            </w:pPr>
          </w:p>
          <w:p w14:paraId="5BD521E3">
            <w:pPr>
              <w:spacing w:line="272" w:lineRule="auto"/>
              <w:rPr>
                <w:rFonts w:ascii="Arial"/>
                <w:sz w:val="21"/>
              </w:rPr>
            </w:pPr>
          </w:p>
          <w:p w14:paraId="17A49478">
            <w:pPr>
              <w:spacing w:line="272" w:lineRule="auto"/>
              <w:rPr>
                <w:rFonts w:ascii="Arial"/>
                <w:sz w:val="21"/>
              </w:rPr>
            </w:pPr>
          </w:p>
          <w:p w14:paraId="3FFEA610">
            <w:pPr>
              <w:spacing w:line="273" w:lineRule="auto"/>
              <w:rPr>
                <w:rFonts w:ascii="Arial"/>
                <w:sz w:val="21"/>
              </w:rPr>
            </w:pPr>
          </w:p>
          <w:p w14:paraId="58DE8BC7">
            <w:pPr>
              <w:pStyle w:val="6"/>
              <w:spacing w:before="65" w:line="259" w:lineRule="auto"/>
              <w:ind w:left="113" w:right="110" w:firstLine="421"/>
              <w:jc w:val="both"/>
              <w:rPr>
                <w:sz w:val="20"/>
                <w:szCs w:val="20"/>
              </w:rPr>
            </w:pPr>
            <w:r>
              <w:rPr>
                <w:spacing w:val="25"/>
                <w:sz w:val="20"/>
                <w:szCs w:val="20"/>
              </w:rPr>
              <w:t>行政机关未履</w:t>
            </w:r>
            <w:r>
              <w:rPr>
                <w:spacing w:val="21"/>
                <w:sz w:val="20"/>
                <w:szCs w:val="20"/>
              </w:rPr>
              <w:t>行法定职责或者违法行使职权的，责</w:t>
            </w:r>
            <w:r>
              <w:rPr>
                <w:spacing w:val="14"/>
                <w:sz w:val="20"/>
                <w:szCs w:val="20"/>
              </w:rPr>
              <w:t>令改正；</w:t>
            </w:r>
            <w:r>
              <w:rPr>
                <w:spacing w:val="-39"/>
                <w:sz w:val="20"/>
                <w:szCs w:val="20"/>
              </w:rPr>
              <w:t xml:space="preserve"> </w:t>
            </w:r>
            <w:r>
              <w:rPr>
                <w:spacing w:val="14"/>
                <w:sz w:val="20"/>
                <w:szCs w:val="20"/>
              </w:rPr>
              <w:t>情节严重</w:t>
            </w:r>
            <w:r>
              <w:rPr>
                <w:spacing w:val="21"/>
                <w:sz w:val="20"/>
                <w:szCs w:val="20"/>
              </w:rPr>
              <w:t>的，对直接负责的主管人员和其他直接责任人员依法给</w:t>
            </w:r>
            <w:r>
              <w:rPr>
                <w:spacing w:val="15"/>
                <w:sz w:val="20"/>
                <w:szCs w:val="20"/>
              </w:rPr>
              <w:t>予处分；</w:t>
            </w:r>
            <w:r>
              <w:rPr>
                <w:spacing w:val="-47"/>
                <w:sz w:val="20"/>
                <w:szCs w:val="20"/>
              </w:rPr>
              <w:t xml:space="preserve"> </w:t>
            </w:r>
            <w:r>
              <w:rPr>
                <w:spacing w:val="15"/>
                <w:sz w:val="20"/>
                <w:szCs w:val="20"/>
              </w:rPr>
              <w:t>构成犯罪</w:t>
            </w:r>
            <w:r>
              <w:rPr>
                <w:spacing w:val="21"/>
                <w:sz w:val="20"/>
                <w:szCs w:val="20"/>
              </w:rPr>
              <w:t>的，依法追究刑事</w:t>
            </w:r>
            <w:r>
              <w:rPr>
                <w:spacing w:val="3"/>
                <w:sz w:val="20"/>
                <w:szCs w:val="20"/>
              </w:rPr>
              <w:t>责任。</w:t>
            </w:r>
          </w:p>
        </w:tc>
      </w:tr>
      <w:tr w14:paraId="3057E6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24" w:type="dxa"/>
            <w:vMerge w:val="continue"/>
            <w:tcBorders>
              <w:top w:val="nil"/>
              <w:bottom w:val="nil"/>
            </w:tcBorders>
            <w:textDirection w:val="tbRlV"/>
            <w:vAlign w:val="top"/>
          </w:tcPr>
          <w:p w14:paraId="48FDCA2B">
            <w:pPr>
              <w:rPr>
                <w:rFonts w:ascii="Arial"/>
                <w:sz w:val="21"/>
              </w:rPr>
            </w:pPr>
          </w:p>
        </w:tc>
        <w:tc>
          <w:tcPr>
            <w:tcW w:w="1259" w:type="dxa"/>
            <w:vMerge w:val="continue"/>
            <w:tcBorders>
              <w:top w:val="nil"/>
              <w:bottom w:val="nil"/>
            </w:tcBorders>
            <w:vAlign w:val="top"/>
          </w:tcPr>
          <w:p w14:paraId="5A21B1A3">
            <w:pPr>
              <w:rPr>
                <w:rFonts w:ascii="Arial"/>
                <w:sz w:val="21"/>
              </w:rPr>
            </w:pPr>
          </w:p>
        </w:tc>
        <w:tc>
          <w:tcPr>
            <w:tcW w:w="4188" w:type="dxa"/>
            <w:vMerge w:val="continue"/>
            <w:tcBorders>
              <w:top w:val="nil"/>
              <w:bottom w:val="nil"/>
            </w:tcBorders>
            <w:vAlign w:val="top"/>
          </w:tcPr>
          <w:p w14:paraId="54272F37">
            <w:pPr>
              <w:rPr>
                <w:rFonts w:ascii="Arial"/>
                <w:sz w:val="21"/>
              </w:rPr>
            </w:pPr>
          </w:p>
        </w:tc>
        <w:tc>
          <w:tcPr>
            <w:tcW w:w="7078" w:type="dxa"/>
            <w:vAlign w:val="top"/>
          </w:tcPr>
          <w:p w14:paraId="6B559773">
            <w:pPr>
              <w:spacing w:line="299" w:lineRule="auto"/>
              <w:rPr>
                <w:rFonts w:ascii="Arial"/>
                <w:sz w:val="21"/>
              </w:rPr>
            </w:pPr>
          </w:p>
          <w:p w14:paraId="5F361D43">
            <w:pPr>
              <w:pStyle w:val="6"/>
              <w:spacing w:before="62" w:line="224" w:lineRule="auto"/>
              <w:ind w:left="120"/>
            </w:pPr>
            <w:r>
              <w:rPr>
                <w:spacing w:val="7"/>
              </w:rPr>
              <w:t>2、依法作出处理决定。</w:t>
            </w:r>
          </w:p>
        </w:tc>
        <w:tc>
          <w:tcPr>
            <w:tcW w:w="2003" w:type="dxa"/>
            <w:vMerge w:val="continue"/>
            <w:tcBorders>
              <w:top w:val="nil"/>
              <w:bottom w:val="nil"/>
            </w:tcBorders>
            <w:vAlign w:val="top"/>
          </w:tcPr>
          <w:p w14:paraId="10CC2DDF">
            <w:pPr>
              <w:rPr>
                <w:rFonts w:ascii="Arial"/>
                <w:sz w:val="21"/>
              </w:rPr>
            </w:pPr>
          </w:p>
        </w:tc>
      </w:tr>
      <w:tr w14:paraId="2FCDF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49B5ED66">
            <w:pPr>
              <w:rPr>
                <w:rFonts w:ascii="Arial"/>
                <w:sz w:val="21"/>
              </w:rPr>
            </w:pPr>
          </w:p>
        </w:tc>
        <w:tc>
          <w:tcPr>
            <w:tcW w:w="1259" w:type="dxa"/>
            <w:vMerge w:val="continue"/>
            <w:tcBorders>
              <w:top w:val="nil"/>
              <w:bottom w:val="nil"/>
            </w:tcBorders>
            <w:vAlign w:val="top"/>
          </w:tcPr>
          <w:p w14:paraId="3BC2ECBB">
            <w:pPr>
              <w:rPr>
                <w:rFonts w:ascii="Arial"/>
                <w:sz w:val="21"/>
              </w:rPr>
            </w:pPr>
          </w:p>
        </w:tc>
        <w:tc>
          <w:tcPr>
            <w:tcW w:w="4188" w:type="dxa"/>
            <w:vMerge w:val="continue"/>
            <w:tcBorders>
              <w:top w:val="nil"/>
              <w:bottom w:val="nil"/>
            </w:tcBorders>
            <w:vAlign w:val="top"/>
          </w:tcPr>
          <w:p w14:paraId="6863FB19">
            <w:pPr>
              <w:rPr>
                <w:rFonts w:ascii="Arial"/>
                <w:sz w:val="21"/>
              </w:rPr>
            </w:pPr>
          </w:p>
        </w:tc>
        <w:tc>
          <w:tcPr>
            <w:tcW w:w="7078" w:type="dxa"/>
            <w:vAlign w:val="top"/>
          </w:tcPr>
          <w:p w14:paraId="5CCEB9AC">
            <w:pPr>
              <w:spacing w:line="313" w:lineRule="auto"/>
              <w:rPr>
                <w:rFonts w:ascii="Arial"/>
                <w:sz w:val="21"/>
              </w:rPr>
            </w:pPr>
            <w:bookmarkStart w:id="0" w:name="_GoBack"/>
            <w:bookmarkEnd w:id="0"/>
          </w:p>
          <w:p w14:paraId="41955E5B">
            <w:pPr>
              <w:pStyle w:val="6"/>
              <w:spacing w:before="61" w:line="310" w:lineRule="auto"/>
              <w:ind w:left="118" w:right="53" w:firstLine="9"/>
            </w:pPr>
            <w:r>
              <w:rPr>
                <w:spacing w:val="4"/>
              </w:rPr>
              <w:t>3、制作笔录，告知当事人采取强制措施的理由、依据及当事人依法享有的权利，</w:t>
            </w:r>
            <w:r>
              <w:rPr>
                <w:spacing w:val="9"/>
              </w:rPr>
              <w:t>并当场交付查封、扣押决定书和清单、实施查封、扣押。</w:t>
            </w:r>
          </w:p>
        </w:tc>
        <w:tc>
          <w:tcPr>
            <w:tcW w:w="2003" w:type="dxa"/>
            <w:vMerge w:val="continue"/>
            <w:tcBorders>
              <w:top w:val="nil"/>
              <w:bottom w:val="nil"/>
            </w:tcBorders>
            <w:vAlign w:val="top"/>
          </w:tcPr>
          <w:p w14:paraId="406D4511">
            <w:pPr>
              <w:rPr>
                <w:rFonts w:ascii="Arial"/>
                <w:sz w:val="21"/>
              </w:rPr>
            </w:pPr>
          </w:p>
        </w:tc>
      </w:tr>
      <w:tr w14:paraId="6A12F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9" w:hRule="atLeast"/>
        </w:trPr>
        <w:tc>
          <w:tcPr>
            <w:tcW w:w="724" w:type="dxa"/>
            <w:vMerge w:val="continue"/>
            <w:tcBorders>
              <w:top w:val="nil"/>
              <w:bottom w:val="nil"/>
            </w:tcBorders>
            <w:textDirection w:val="tbRlV"/>
            <w:vAlign w:val="top"/>
          </w:tcPr>
          <w:p w14:paraId="7D5A7FDE">
            <w:pPr>
              <w:rPr>
                <w:rFonts w:ascii="Arial"/>
                <w:sz w:val="21"/>
              </w:rPr>
            </w:pPr>
          </w:p>
        </w:tc>
        <w:tc>
          <w:tcPr>
            <w:tcW w:w="1259" w:type="dxa"/>
            <w:vMerge w:val="continue"/>
            <w:tcBorders>
              <w:top w:val="nil"/>
              <w:bottom w:val="nil"/>
            </w:tcBorders>
            <w:vAlign w:val="top"/>
          </w:tcPr>
          <w:p w14:paraId="363F033E">
            <w:pPr>
              <w:rPr>
                <w:rFonts w:ascii="Arial"/>
                <w:sz w:val="21"/>
              </w:rPr>
            </w:pPr>
          </w:p>
        </w:tc>
        <w:tc>
          <w:tcPr>
            <w:tcW w:w="4188" w:type="dxa"/>
            <w:vMerge w:val="continue"/>
            <w:tcBorders>
              <w:top w:val="nil"/>
              <w:bottom w:val="nil"/>
            </w:tcBorders>
            <w:vAlign w:val="top"/>
          </w:tcPr>
          <w:p w14:paraId="058827C6">
            <w:pPr>
              <w:rPr>
                <w:rFonts w:ascii="Arial"/>
                <w:sz w:val="21"/>
              </w:rPr>
            </w:pPr>
          </w:p>
        </w:tc>
        <w:tc>
          <w:tcPr>
            <w:tcW w:w="7078" w:type="dxa"/>
            <w:vAlign w:val="top"/>
          </w:tcPr>
          <w:p w14:paraId="7139181D">
            <w:pPr>
              <w:pStyle w:val="6"/>
              <w:spacing w:before="65" w:line="310" w:lineRule="auto"/>
              <w:ind w:left="112" w:right="104" w:firstLine="6"/>
            </w:pPr>
            <w:r>
              <w:rPr>
                <w:spacing w:val="8"/>
              </w:rPr>
              <w:t>4、行政机关采取查封、扣押措施后，应当及时查清事实，在《中华人民共和国</w:t>
            </w:r>
            <w:r>
              <w:rPr>
                <w:spacing w:val="10"/>
              </w:rPr>
              <w:t>行政强制法》第二十五条规定的期限内作出处理决定</w:t>
            </w:r>
            <w:r>
              <w:rPr>
                <w:spacing w:val="9"/>
              </w:rPr>
              <w:t>。对违法事实清楚，依法应当没收的非法财物予以没收；法律、行政法规规定应当销毁的，依法销毁；</w:t>
            </w:r>
          </w:p>
          <w:p w14:paraId="0F70F572">
            <w:pPr>
              <w:pStyle w:val="6"/>
              <w:spacing w:line="223" w:lineRule="auto"/>
              <w:ind w:left="117"/>
            </w:pPr>
            <w:r>
              <w:rPr>
                <w:spacing w:val="9"/>
              </w:rPr>
              <w:t>应当解除查封、扣押的，作出解除查封、扣押的决</w:t>
            </w:r>
            <w:r>
              <w:rPr>
                <w:spacing w:val="8"/>
              </w:rPr>
              <w:t>定。</w:t>
            </w:r>
          </w:p>
        </w:tc>
        <w:tc>
          <w:tcPr>
            <w:tcW w:w="2003" w:type="dxa"/>
            <w:vMerge w:val="continue"/>
            <w:tcBorders>
              <w:top w:val="nil"/>
              <w:bottom w:val="nil"/>
            </w:tcBorders>
            <w:vAlign w:val="top"/>
          </w:tcPr>
          <w:p w14:paraId="0B085691">
            <w:pPr>
              <w:rPr>
                <w:rFonts w:ascii="Arial"/>
                <w:sz w:val="21"/>
              </w:rPr>
            </w:pPr>
          </w:p>
        </w:tc>
      </w:tr>
      <w:tr w14:paraId="45427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6BF53CAA">
            <w:pPr>
              <w:rPr>
                <w:rFonts w:ascii="Arial"/>
                <w:sz w:val="21"/>
              </w:rPr>
            </w:pPr>
          </w:p>
        </w:tc>
        <w:tc>
          <w:tcPr>
            <w:tcW w:w="1259" w:type="dxa"/>
            <w:vMerge w:val="continue"/>
            <w:tcBorders>
              <w:top w:val="nil"/>
            </w:tcBorders>
            <w:vAlign w:val="top"/>
          </w:tcPr>
          <w:p w14:paraId="12AA5913">
            <w:pPr>
              <w:rPr>
                <w:rFonts w:ascii="Arial"/>
                <w:sz w:val="21"/>
              </w:rPr>
            </w:pPr>
          </w:p>
        </w:tc>
        <w:tc>
          <w:tcPr>
            <w:tcW w:w="4188" w:type="dxa"/>
            <w:vMerge w:val="continue"/>
            <w:tcBorders>
              <w:top w:val="nil"/>
            </w:tcBorders>
            <w:vAlign w:val="top"/>
          </w:tcPr>
          <w:p w14:paraId="6B82C88B">
            <w:pPr>
              <w:rPr>
                <w:rFonts w:ascii="Arial"/>
                <w:sz w:val="21"/>
              </w:rPr>
            </w:pPr>
          </w:p>
        </w:tc>
        <w:tc>
          <w:tcPr>
            <w:tcW w:w="7078" w:type="dxa"/>
            <w:vAlign w:val="top"/>
          </w:tcPr>
          <w:p w14:paraId="4BB46C42">
            <w:pPr>
              <w:pStyle w:val="6"/>
              <w:spacing w:before="91" w:line="224" w:lineRule="auto"/>
              <w:ind w:left="122"/>
            </w:pPr>
            <w:r>
              <w:rPr>
                <w:spacing w:val="8"/>
              </w:rPr>
              <w:t>5、其他法律法规规章规定应履行的责任。</w:t>
            </w:r>
          </w:p>
        </w:tc>
        <w:tc>
          <w:tcPr>
            <w:tcW w:w="2003" w:type="dxa"/>
            <w:vMerge w:val="continue"/>
            <w:tcBorders>
              <w:top w:val="nil"/>
            </w:tcBorders>
            <w:vAlign w:val="top"/>
          </w:tcPr>
          <w:p w14:paraId="42C324B2">
            <w:pPr>
              <w:rPr>
                <w:rFonts w:ascii="Arial"/>
                <w:sz w:val="21"/>
              </w:rPr>
            </w:pPr>
          </w:p>
        </w:tc>
      </w:tr>
      <w:tr w14:paraId="63CC9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46C942E5">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23A719DF">
      <w:pPr>
        <w:rPr>
          <w:rFonts w:ascii="Arial"/>
          <w:sz w:val="21"/>
        </w:rPr>
      </w:pPr>
    </w:p>
    <w:p w14:paraId="682ED836">
      <w:pPr>
        <w:rPr>
          <w:rFonts w:ascii="Arial" w:hAnsi="Arial" w:eastAsia="Arial" w:cs="Arial"/>
          <w:sz w:val="21"/>
          <w:szCs w:val="21"/>
        </w:rPr>
        <w:sectPr>
          <w:footerReference r:id="rId5" w:type="default"/>
          <w:pgSz w:w="16839" w:h="11906"/>
          <w:pgMar w:top="1012" w:right="685" w:bottom="1213" w:left="895" w:header="0" w:footer="936" w:gutter="0"/>
          <w:cols w:space="720" w:num="1"/>
        </w:sectPr>
      </w:pPr>
    </w:p>
    <w:p w14:paraId="2BF71F03">
      <w:pPr>
        <w:spacing w:before="36"/>
      </w:pPr>
    </w:p>
    <w:p w14:paraId="230EBA80">
      <w:pPr>
        <w:spacing w:before="36"/>
      </w:pPr>
    </w:p>
    <w:p w14:paraId="25C4698A">
      <w:pPr>
        <w:spacing w:before="36"/>
      </w:pPr>
    </w:p>
    <w:p w14:paraId="3D3AAAB3">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644B3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C5B468C">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1339814">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CA3C77D">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7402341E">
            <w:pPr>
              <w:spacing w:before="190"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53C74F92">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2F34C73F">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66BD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6" w:hRule="atLeast"/>
        </w:trPr>
        <w:tc>
          <w:tcPr>
            <w:tcW w:w="724" w:type="dxa"/>
            <w:vMerge w:val="restart"/>
            <w:tcBorders>
              <w:bottom w:val="nil"/>
            </w:tcBorders>
            <w:textDirection w:val="tbRlV"/>
            <w:vAlign w:val="top"/>
          </w:tcPr>
          <w:p w14:paraId="51B240FF">
            <w:pPr>
              <w:pStyle w:val="6"/>
              <w:spacing w:before="255" w:line="213" w:lineRule="auto"/>
              <w:ind w:left="2101"/>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2F552159">
            <w:pPr>
              <w:spacing w:line="265" w:lineRule="auto"/>
              <w:rPr>
                <w:rFonts w:ascii="Arial"/>
                <w:sz w:val="21"/>
              </w:rPr>
            </w:pPr>
          </w:p>
          <w:p w14:paraId="00E43EA0">
            <w:pPr>
              <w:spacing w:line="265" w:lineRule="auto"/>
              <w:rPr>
                <w:rFonts w:ascii="Arial"/>
                <w:sz w:val="21"/>
              </w:rPr>
            </w:pPr>
          </w:p>
          <w:p w14:paraId="7D8F13DF">
            <w:pPr>
              <w:spacing w:line="265" w:lineRule="auto"/>
              <w:rPr>
                <w:rFonts w:ascii="Arial"/>
                <w:sz w:val="21"/>
              </w:rPr>
            </w:pPr>
          </w:p>
          <w:p w14:paraId="7FC7637B">
            <w:pPr>
              <w:spacing w:line="266" w:lineRule="auto"/>
              <w:rPr>
                <w:rFonts w:ascii="Arial"/>
                <w:sz w:val="21"/>
              </w:rPr>
            </w:pPr>
          </w:p>
          <w:p w14:paraId="69132D1D">
            <w:pPr>
              <w:spacing w:line="266" w:lineRule="auto"/>
              <w:rPr>
                <w:rFonts w:ascii="Arial"/>
                <w:sz w:val="21"/>
              </w:rPr>
            </w:pPr>
          </w:p>
          <w:p w14:paraId="7D2FE5E6">
            <w:pPr>
              <w:spacing w:line="266" w:lineRule="auto"/>
              <w:rPr>
                <w:rFonts w:ascii="Arial"/>
                <w:sz w:val="21"/>
              </w:rPr>
            </w:pPr>
          </w:p>
          <w:p w14:paraId="05DA4461">
            <w:pPr>
              <w:spacing w:line="266" w:lineRule="auto"/>
              <w:rPr>
                <w:rFonts w:ascii="Arial"/>
                <w:sz w:val="21"/>
              </w:rPr>
            </w:pPr>
          </w:p>
          <w:p w14:paraId="582E63BF">
            <w:pPr>
              <w:spacing w:line="266" w:lineRule="auto"/>
              <w:rPr>
                <w:rFonts w:ascii="Arial"/>
                <w:sz w:val="21"/>
              </w:rPr>
            </w:pPr>
          </w:p>
          <w:p w14:paraId="25853D9A">
            <w:pPr>
              <w:pStyle w:val="6"/>
              <w:spacing w:before="61" w:line="311" w:lineRule="auto"/>
              <w:ind w:left="117" w:right="153" w:firstLine="1"/>
              <w:jc w:val="both"/>
            </w:pPr>
            <w:r>
              <w:rPr>
                <w:spacing w:val="5"/>
              </w:rPr>
              <w:t>2.收缴、销</w:t>
            </w:r>
            <w:r>
              <w:rPr>
                <w:spacing w:val="6"/>
              </w:rPr>
              <w:t>毁违法使用的商标标识</w:t>
            </w:r>
          </w:p>
        </w:tc>
        <w:tc>
          <w:tcPr>
            <w:tcW w:w="3307" w:type="dxa"/>
            <w:vMerge w:val="restart"/>
            <w:tcBorders>
              <w:bottom w:val="nil"/>
            </w:tcBorders>
            <w:vAlign w:val="top"/>
          </w:tcPr>
          <w:p w14:paraId="0433869A">
            <w:pPr>
              <w:spacing w:line="293" w:lineRule="auto"/>
              <w:rPr>
                <w:rFonts w:ascii="Arial"/>
                <w:sz w:val="21"/>
              </w:rPr>
            </w:pPr>
          </w:p>
          <w:p w14:paraId="18BFC414">
            <w:pPr>
              <w:spacing w:line="293" w:lineRule="auto"/>
              <w:rPr>
                <w:rFonts w:ascii="Arial"/>
                <w:sz w:val="21"/>
              </w:rPr>
            </w:pPr>
          </w:p>
          <w:p w14:paraId="3839AABB">
            <w:pPr>
              <w:spacing w:line="294" w:lineRule="auto"/>
              <w:rPr>
                <w:rFonts w:ascii="Arial"/>
                <w:sz w:val="21"/>
              </w:rPr>
            </w:pPr>
          </w:p>
          <w:p w14:paraId="55428CD0">
            <w:pPr>
              <w:spacing w:line="294" w:lineRule="auto"/>
              <w:rPr>
                <w:rFonts w:ascii="Arial"/>
                <w:sz w:val="21"/>
              </w:rPr>
            </w:pPr>
          </w:p>
          <w:p w14:paraId="25FA75D5">
            <w:pPr>
              <w:pStyle w:val="6"/>
              <w:spacing w:before="62" w:line="225" w:lineRule="auto"/>
              <w:ind w:left="108"/>
            </w:pPr>
            <w:r>
              <w:rPr>
                <w:spacing w:val="9"/>
              </w:rPr>
              <w:t>《中华人民共和国商标法实施条</w:t>
            </w:r>
          </w:p>
          <w:p w14:paraId="011095BE">
            <w:pPr>
              <w:pStyle w:val="6"/>
              <w:spacing w:before="85" w:line="310" w:lineRule="auto"/>
              <w:ind w:left="117" w:right="198" w:hanging="9"/>
              <w:jc w:val="both"/>
            </w:pPr>
            <w:r>
              <w:rPr>
                <w:spacing w:val="-1"/>
              </w:rPr>
              <w:t>例》（</w:t>
            </w:r>
            <w:r>
              <w:rPr>
                <w:spacing w:val="-31"/>
              </w:rPr>
              <w:t xml:space="preserve"> </w:t>
            </w:r>
            <w:r>
              <w:rPr>
                <w:spacing w:val="-1"/>
              </w:rPr>
              <w:t>国务院令第</w:t>
            </w:r>
            <w:r>
              <w:rPr>
                <w:spacing w:val="-27"/>
              </w:rPr>
              <w:t xml:space="preserve"> </w:t>
            </w:r>
            <w:r>
              <w:rPr>
                <w:spacing w:val="-1"/>
              </w:rPr>
              <w:t>651</w:t>
            </w:r>
            <w:r>
              <w:rPr>
                <w:spacing w:val="-29"/>
              </w:rPr>
              <w:t xml:space="preserve"> </w:t>
            </w:r>
            <w:r>
              <w:rPr>
                <w:spacing w:val="-1"/>
              </w:rPr>
              <w:t>号</w:t>
            </w:r>
            <w:r>
              <w:rPr>
                <w:spacing w:val="-41"/>
              </w:rPr>
              <w:t xml:space="preserve"> </w:t>
            </w:r>
            <w:r>
              <w:rPr>
                <w:spacing w:val="-1"/>
              </w:rPr>
              <w:t>）第七十</w:t>
            </w:r>
            <w:r>
              <w:rPr>
                <w:spacing w:val="1"/>
              </w:rPr>
              <w:t>二条：</w:t>
            </w:r>
            <w:r>
              <w:rPr>
                <w:spacing w:val="-44"/>
              </w:rPr>
              <w:t xml:space="preserve"> </w:t>
            </w:r>
            <w:r>
              <w:rPr>
                <w:spacing w:val="1"/>
              </w:rPr>
              <w:t>“</w:t>
            </w:r>
            <w:r>
              <w:rPr>
                <w:spacing w:val="-62"/>
              </w:rPr>
              <w:t xml:space="preserve"> </w:t>
            </w:r>
            <w:r>
              <w:rPr>
                <w:spacing w:val="1"/>
              </w:rPr>
              <w:t>…</w:t>
            </w:r>
            <w:r>
              <w:rPr>
                <w:spacing w:val="-60"/>
              </w:rPr>
              <w:t xml:space="preserve"> </w:t>
            </w:r>
            <w:r>
              <w:rPr>
                <w:spacing w:val="1"/>
              </w:rPr>
              <w:t>…经商标局依照商标法</w:t>
            </w:r>
            <w:r>
              <w:rPr>
                <w:spacing w:val="9"/>
              </w:rPr>
              <w:t>第十四条规定认定为驰名商标的，由工商行政管理部门责令停止违反商标法第十三条规定使用商标的行为，收缴、销毁违法使用的商标标识；商标标识与商品难以分离的，</w:t>
            </w:r>
            <w:r>
              <w:rPr>
                <w:spacing w:val="15"/>
              </w:rPr>
              <w:t>一并收缴、销毁。</w:t>
            </w:r>
            <w:r>
              <w:rPr>
                <w:spacing w:val="-60"/>
              </w:rPr>
              <w:t xml:space="preserve"> </w:t>
            </w:r>
            <w:r>
              <w:rPr>
                <w:spacing w:val="15"/>
              </w:rPr>
              <w:t>”</w:t>
            </w:r>
          </w:p>
        </w:tc>
        <w:tc>
          <w:tcPr>
            <w:tcW w:w="6193" w:type="dxa"/>
            <w:vAlign w:val="top"/>
          </w:tcPr>
          <w:p w14:paraId="0EEFA0DB">
            <w:pPr>
              <w:spacing w:line="359" w:lineRule="auto"/>
              <w:rPr>
                <w:rFonts w:ascii="Arial"/>
                <w:sz w:val="21"/>
              </w:rPr>
            </w:pPr>
          </w:p>
          <w:p w14:paraId="21F6F589">
            <w:pPr>
              <w:pStyle w:val="6"/>
              <w:spacing w:before="61" w:line="224" w:lineRule="auto"/>
              <w:ind w:left="124"/>
            </w:pPr>
            <w:r>
              <w:rPr>
                <w:spacing w:val="8"/>
              </w:rPr>
              <w:t>1、核实违法事实，报行政机关负责人批准。</w:t>
            </w:r>
          </w:p>
        </w:tc>
        <w:tc>
          <w:tcPr>
            <w:tcW w:w="3768" w:type="dxa"/>
            <w:vMerge w:val="restart"/>
            <w:tcBorders>
              <w:bottom w:val="nil"/>
            </w:tcBorders>
            <w:vAlign w:val="top"/>
          </w:tcPr>
          <w:p w14:paraId="721BBB1C">
            <w:pPr>
              <w:rPr>
                <w:rFonts w:ascii="Arial"/>
                <w:sz w:val="21"/>
              </w:rPr>
            </w:pPr>
          </w:p>
          <w:p w14:paraId="6876B2AC">
            <w:pPr>
              <w:rPr>
                <w:rFonts w:ascii="Arial"/>
                <w:sz w:val="21"/>
              </w:rPr>
            </w:pPr>
          </w:p>
          <w:p w14:paraId="41DA46B5">
            <w:pPr>
              <w:rPr>
                <w:rFonts w:ascii="Arial"/>
                <w:sz w:val="21"/>
              </w:rPr>
            </w:pPr>
          </w:p>
          <w:p w14:paraId="65B74EBD">
            <w:pPr>
              <w:rPr>
                <w:rFonts w:ascii="Arial"/>
                <w:sz w:val="21"/>
              </w:rPr>
            </w:pPr>
          </w:p>
          <w:p w14:paraId="0F7B746C">
            <w:pPr>
              <w:rPr>
                <w:rFonts w:ascii="Arial"/>
                <w:sz w:val="21"/>
              </w:rPr>
            </w:pPr>
          </w:p>
          <w:p w14:paraId="756CA934">
            <w:pPr>
              <w:spacing w:line="241" w:lineRule="auto"/>
              <w:rPr>
                <w:rFonts w:ascii="Arial"/>
                <w:sz w:val="21"/>
              </w:rPr>
            </w:pPr>
          </w:p>
          <w:p w14:paraId="5E8A17E8">
            <w:pPr>
              <w:spacing w:line="241" w:lineRule="auto"/>
              <w:rPr>
                <w:rFonts w:ascii="Arial"/>
                <w:sz w:val="21"/>
              </w:rPr>
            </w:pPr>
          </w:p>
          <w:p w14:paraId="0714C5A3">
            <w:pPr>
              <w:spacing w:line="241" w:lineRule="auto"/>
              <w:rPr>
                <w:rFonts w:ascii="Arial"/>
                <w:sz w:val="21"/>
              </w:rPr>
            </w:pPr>
          </w:p>
          <w:p w14:paraId="7A63C58C">
            <w:pPr>
              <w:spacing w:line="241" w:lineRule="auto"/>
              <w:rPr>
                <w:rFonts w:ascii="Arial"/>
                <w:sz w:val="21"/>
              </w:rPr>
            </w:pPr>
          </w:p>
          <w:p w14:paraId="59283625">
            <w:pPr>
              <w:pStyle w:val="6"/>
              <w:spacing w:before="65" w:line="224" w:lineRule="auto"/>
              <w:ind w:left="535"/>
              <w:rPr>
                <w:sz w:val="20"/>
                <w:szCs w:val="20"/>
              </w:rPr>
            </w:pPr>
            <w:r>
              <w:rPr>
                <w:spacing w:val="22"/>
                <w:sz w:val="20"/>
                <w:szCs w:val="20"/>
              </w:rPr>
              <w:t>行政机关未履行法定职责或者违</w:t>
            </w:r>
          </w:p>
          <w:p w14:paraId="6A122F57">
            <w:pPr>
              <w:pStyle w:val="6"/>
              <w:spacing w:before="35" w:line="259" w:lineRule="auto"/>
              <w:ind w:left="119" w:right="54" w:firstLine="3"/>
              <w:jc w:val="both"/>
              <w:rPr>
                <w:sz w:val="20"/>
                <w:szCs w:val="20"/>
              </w:rPr>
            </w:pPr>
            <w:r>
              <w:rPr>
                <w:spacing w:val="-1"/>
                <w:sz w:val="20"/>
                <w:szCs w:val="20"/>
              </w:rPr>
              <w:t>法行使职权的，责令改正；情节严重的，</w:t>
            </w:r>
            <w:r>
              <w:rPr>
                <w:spacing w:val="20"/>
                <w:sz w:val="20"/>
                <w:szCs w:val="20"/>
              </w:rPr>
              <w:t>对直接负责的主管人员和其他直接责</w:t>
            </w:r>
            <w:r>
              <w:rPr>
                <w:spacing w:val="7"/>
                <w:sz w:val="20"/>
                <w:szCs w:val="20"/>
              </w:rPr>
              <w:t>任人员依法给予处分；构成犯罪的，依法追究刑事责任。</w:t>
            </w:r>
          </w:p>
        </w:tc>
      </w:tr>
      <w:tr w14:paraId="08C4C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724" w:type="dxa"/>
            <w:vMerge w:val="continue"/>
            <w:tcBorders>
              <w:top w:val="nil"/>
              <w:bottom w:val="nil"/>
            </w:tcBorders>
            <w:textDirection w:val="tbRlV"/>
            <w:vAlign w:val="top"/>
          </w:tcPr>
          <w:p w14:paraId="5C1D7322">
            <w:pPr>
              <w:rPr>
                <w:rFonts w:ascii="Arial"/>
                <w:sz w:val="21"/>
              </w:rPr>
            </w:pPr>
          </w:p>
        </w:tc>
        <w:tc>
          <w:tcPr>
            <w:tcW w:w="1260" w:type="dxa"/>
            <w:vMerge w:val="continue"/>
            <w:tcBorders>
              <w:top w:val="nil"/>
              <w:bottom w:val="nil"/>
            </w:tcBorders>
            <w:vAlign w:val="top"/>
          </w:tcPr>
          <w:p w14:paraId="6C35C3E7">
            <w:pPr>
              <w:rPr>
                <w:rFonts w:ascii="Arial"/>
                <w:sz w:val="21"/>
              </w:rPr>
            </w:pPr>
          </w:p>
        </w:tc>
        <w:tc>
          <w:tcPr>
            <w:tcW w:w="3307" w:type="dxa"/>
            <w:vMerge w:val="continue"/>
            <w:tcBorders>
              <w:top w:val="nil"/>
              <w:bottom w:val="nil"/>
            </w:tcBorders>
            <w:vAlign w:val="top"/>
          </w:tcPr>
          <w:p w14:paraId="2967795D">
            <w:pPr>
              <w:rPr>
                <w:rFonts w:ascii="Arial"/>
                <w:sz w:val="21"/>
              </w:rPr>
            </w:pPr>
          </w:p>
        </w:tc>
        <w:tc>
          <w:tcPr>
            <w:tcW w:w="6193" w:type="dxa"/>
            <w:vAlign w:val="top"/>
          </w:tcPr>
          <w:p w14:paraId="2F774BBA">
            <w:pPr>
              <w:spacing w:line="284" w:lineRule="auto"/>
              <w:rPr>
                <w:rFonts w:ascii="Arial"/>
                <w:sz w:val="21"/>
              </w:rPr>
            </w:pPr>
          </w:p>
          <w:p w14:paraId="3C39B97C">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200BA1AF">
            <w:pPr>
              <w:rPr>
                <w:rFonts w:ascii="Arial"/>
                <w:sz w:val="21"/>
              </w:rPr>
            </w:pPr>
          </w:p>
        </w:tc>
      </w:tr>
      <w:tr w14:paraId="2236B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5C2245BE">
            <w:pPr>
              <w:rPr>
                <w:rFonts w:ascii="Arial"/>
                <w:sz w:val="21"/>
              </w:rPr>
            </w:pPr>
          </w:p>
        </w:tc>
        <w:tc>
          <w:tcPr>
            <w:tcW w:w="1260" w:type="dxa"/>
            <w:vMerge w:val="continue"/>
            <w:tcBorders>
              <w:top w:val="nil"/>
              <w:bottom w:val="nil"/>
            </w:tcBorders>
            <w:vAlign w:val="top"/>
          </w:tcPr>
          <w:p w14:paraId="3BE8D551">
            <w:pPr>
              <w:rPr>
                <w:rFonts w:ascii="Arial"/>
                <w:sz w:val="21"/>
              </w:rPr>
            </w:pPr>
          </w:p>
        </w:tc>
        <w:tc>
          <w:tcPr>
            <w:tcW w:w="3307" w:type="dxa"/>
            <w:vMerge w:val="continue"/>
            <w:tcBorders>
              <w:top w:val="nil"/>
              <w:bottom w:val="nil"/>
            </w:tcBorders>
            <w:vAlign w:val="top"/>
          </w:tcPr>
          <w:p w14:paraId="45B3A964">
            <w:pPr>
              <w:rPr>
                <w:rFonts w:ascii="Arial"/>
                <w:sz w:val="21"/>
              </w:rPr>
            </w:pPr>
          </w:p>
        </w:tc>
        <w:tc>
          <w:tcPr>
            <w:tcW w:w="6193" w:type="dxa"/>
            <w:vAlign w:val="top"/>
          </w:tcPr>
          <w:p w14:paraId="26A7A528">
            <w:pPr>
              <w:spacing w:line="315" w:lineRule="auto"/>
              <w:rPr>
                <w:rFonts w:ascii="Arial"/>
                <w:sz w:val="21"/>
              </w:rPr>
            </w:pPr>
          </w:p>
          <w:p w14:paraId="2994159E">
            <w:pPr>
              <w:pStyle w:val="6"/>
              <w:spacing w:before="61" w:line="307"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2B1F23D1">
            <w:pPr>
              <w:rPr>
                <w:rFonts w:ascii="Arial"/>
                <w:sz w:val="21"/>
              </w:rPr>
            </w:pPr>
          </w:p>
        </w:tc>
      </w:tr>
      <w:tr w14:paraId="58C65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050B7311">
            <w:pPr>
              <w:rPr>
                <w:rFonts w:ascii="Arial"/>
                <w:sz w:val="21"/>
              </w:rPr>
            </w:pPr>
          </w:p>
        </w:tc>
        <w:tc>
          <w:tcPr>
            <w:tcW w:w="1260" w:type="dxa"/>
            <w:vMerge w:val="continue"/>
            <w:tcBorders>
              <w:top w:val="nil"/>
              <w:bottom w:val="nil"/>
            </w:tcBorders>
            <w:vAlign w:val="top"/>
          </w:tcPr>
          <w:p w14:paraId="3CB4C4B9">
            <w:pPr>
              <w:rPr>
                <w:rFonts w:ascii="Arial"/>
                <w:sz w:val="21"/>
              </w:rPr>
            </w:pPr>
          </w:p>
        </w:tc>
        <w:tc>
          <w:tcPr>
            <w:tcW w:w="3307" w:type="dxa"/>
            <w:vMerge w:val="continue"/>
            <w:tcBorders>
              <w:top w:val="nil"/>
              <w:bottom w:val="nil"/>
            </w:tcBorders>
            <w:vAlign w:val="top"/>
          </w:tcPr>
          <w:p w14:paraId="48E54477">
            <w:pPr>
              <w:rPr>
                <w:rFonts w:ascii="Arial"/>
                <w:sz w:val="21"/>
              </w:rPr>
            </w:pPr>
          </w:p>
        </w:tc>
        <w:tc>
          <w:tcPr>
            <w:tcW w:w="6193" w:type="dxa"/>
            <w:vAlign w:val="top"/>
          </w:tcPr>
          <w:p w14:paraId="2988CB0B">
            <w:pPr>
              <w:pStyle w:val="6"/>
              <w:spacing w:before="68"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566D3AFD">
            <w:pPr>
              <w:rPr>
                <w:rFonts w:ascii="Arial"/>
                <w:sz w:val="21"/>
              </w:rPr>
            </w:pPr>
          </w:p>
        </w:tc>
      </w:tr>
      <w:tr w14:paraId="37E4A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691A7C0D">
            <w:pPr>
              <w:rPr>
                <w:rFonts w:ascii="Arial"/>
                <w:sz w:val="21"/>
              </w:rPr>
            </w:pPr>
          </w:p>
        </w:tc>
        <w:tc>
          <w:tcPr>
            <w:tcW w:w="1260" w:type="dxa"/>
            <w:vMerge w:val="continue"/>
            <w:tcBorders>
              <w:top w:val="nil"/>
            </w:tcBorders>
            <w:vAlign w:val="top"/>
          </w:tcPr>
          <w:p w14:paraId="058F855C">
            <w:pPr>
              <w:rPr>
                <w:rFonts w:ascii="Arial"/>
                <w:sz w:val="21"/>
              </w:rPr>
            </w:pPr>
          </w:p>
        </w:tc>
        <w:tc>
          <w:tcPr>
            <w:tcW w:w="3307" w:type="dxa"/>
            <w:vMerge w:val="continue"/>
            <w:tcBorders>
              <w:top w:val="nil"/>
            </w:tcBorders>
            <w:vAlign w:val="top"/>
          </w:tcPr>
          <w:p w14:paraId="02A54CF1">
            <w:pPr>
              <w:rPr>
                <w:rFonts w:ascii="Arial"/>
                <w:sz w:val="21"/>
              </w:rPr>
            </w:pPr>
          </w:p>
        </w:tc>
        <w:tc>
          <w:tcPr>
            <w:tcW w:w="6193" w:type="dxa"/>
            <w:vAlign w:val="top"/>
          </w:tcPr>
          <w:p w14:paraId="65F52BD6">
            <w:pPr>
              <w:pStyle w:val="6"/>
              <w:spacing w:before="89" w:line="224" w:lineRule="auto"/>
              <w:ind w:left="121"/>
            </w:pPr>
            <w:r>
              <w:rPr>
                <w:spacing w:val="8"/>
              </w:rPr>
              <w:t>5、其他法律法规规章规定应履行的责任。</w:t>
            </w:r>
          </w:p>
        </w:tc>
        <w:tc>
          <w:tcPr>
            <w:tcW w:w="3768" w:type="dxa"/>
            <w:vMerge w:val="continue"/>
            <w:tcBorders>
              <w:top w:val="nil"/>
            </w:tcBorders>
            <w:vAlign w:val="top"/>
          </w:tcPr>
          <w:p w14:paraId="04921F88">
            <w:pPr>
              <w:rPr>
                <w:rFonts w:ascii="Arial"/>
                <w:sz w:val="21"/>
              </w:rPr>
            </w:pPr>
          </w:p>
        </w:tc>
      </w:tr>
      <w:tr w14:paraId="4B43C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7356D89">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3A0E938">
      <w:pPr>
        <w:rPr>
          <w:rFonts w:ascii="Arial"/>
          <w:sz w:val="21"/>
        </w:rPr>
      </w:pPr>
    </w:p>
    <w:p w14:paraId="7DC309A4">
      <w:pPr>
        <w:rPr>
          <w:rFonts w:ascii="Arial" w:hAnsi="Arial" w:eastAsia="Arial" w:cs="Arial"/>
          <w:sz w:val="21"/>
          <w:szCs w:val="21"/>
        </w:rPr>
        <w:sectPr>
          <w:footerReference r:id="rId6" w:type="default"/>
          <w:pgSz w:w="16839" w:h="11906"/>
          <w:pgMar w:top="1012" w:right="685" w:bottom="1213" w:left="895" w:header="0" w:footer="936" w:gutter="0"/>
          <w:cols w:space="720" w:num="1"/>
        </w:sectPr>
      </w:pPr>
    </w:p>
    <w:p w14:paraId="3D6F55B5">
      <w:pPr>
        <w:spacing w:before="36"/>
      </w:pPr>
    </w:p>
    <w:p w14:paraId="5EB07D46">
      <w:pPr>
        <w:spacing w:before="36"/>
      </w:pPr>
    </w:p>
    <w:p w14:paraId="14F82FD9">
      <w:pPr>
        <w:spacing w:before="36"/>
      </w:pPr>
    </w:p>
    <w:p w14:paraId="13868FE2">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532"/>
        <w:gridCol w:w="5713"/>
        <w:gridCol w:w="3023"/>
      </w:tblGrid>
      <w:tr w14:paraId="733036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0D523A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FD90260">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ADE6BFD">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532" w:type="dxa"/>
            <w:vAlign w:val="top"/>
          </w:tcPr>
          <w:p w14:paraId="3F1F3CE6">
            <w:pPr>
              <w:spacing w:before="190" w:line="228" w:lineRule="auto"/>
              <w:ind w:left="1854"/>
              <w:rPr>
                <w:rFonts w:ascii="宋体" w:hAnsi="宋体" w:eastAsia="宋体" w:cs="宋体"/>
                <w:sz w:val="20"/>
                <w:szCs w:val="20"/>
              </w:rPr>
            </w:pPr>
            <w:r>
              <w:rPr>
                <w:rFonts w:ascii="宋体" w:hAnsi="宋体" w:eastAsia="宋体" w:cs="宋体"/>
                <w:b/>
                <w:bCs/>
                <w:spacing w:val="5"/>
                <w:sz w:val="20"/>
                <w:szCs w:val="20"/>
              </w:rPr>
              <w:t>实施依据</w:t>
            </w:r>
          </w:p>
        </w:tc>
        <w:tc>
          <w:tcPr>
            <w:tcW w:w="5713" w:type="dxa"/>
            <w:vAlign w:val="top"/>
          </w:tcPr>
          <w:p w14:paraId="55AA364D">
            <w:pPr>
              <w:spacing w:before="190" w:line="228" w:lineRule="auto"/>
              <w:ind w:left="1868"/>
              <w:rPr>
                <w:rFonts w:ascii="宋体" w:hAnsi="宋体" w:eastAsia="宋体" w:cs="宋体"/>
                <w:sz w:val="20"/>
                <w:szCs w:val="20"/>
              </w:rPr>
            </w:pPr>
            <w:r>
              <w:rPr>
                <w:rFonts w:ascii="宋体" w:hAnsi="宋体" w:eastAsia="宋体" w:cs="宋体"/>
                <w:b/>
                <w:bCs/>
                <w:spacing w:val="6"/>
                <w:sz w:val="20"/>
                <w:szCs w:val="20"/>
              </w:rPr>
              <w:t>责任事项（岗位责任)</w:t>
            </w:r>
          </w:p>
        </w:tc>
        <w:tc>
          <w:tcPr>
            <w:tcW w:w="3023" w:type="dxa"/>
            <w:vAlign w:val="top"/>
          </w:tcPr>
          <w:p w14:paraId="5CCC1535">
            <w:pPr>
              <w:spacing w:before="190" w:line="228" w:lineRule="auto"/>
              <w:ind w:left="1096"/>
              <w:rPr>
                <w:rFonts w:ascii="宋体" w:hAnsi="宋体" w:eastAsia="宋体" w:cs="宋体"/>
                <w:sz w:val="20"/>
                <w:szCs w:val="20"/>
              </w:rPr>
            </w:pPr>
            <w:r>
              <w:rPr>
                <w:rFonts w:ascii="宋体" w:hAnsi="宋体" w:eastAsia="宋体" w:cs="宋体"/>
                <w:b/>
                <w:bCs/>
                <w:spacing w:val="6"/>
                <w:sz w:val="20"/>
                <w:szCs w:val="20"/>
              </w:rPr>
              <w:t>违法责任</w:t>
            </w:r>
          </w:p>
        </w:tc>
      </w:tr>
      <w:tr w14:paraId="13B18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724" w:type="dxa"/>
            <w:vMerge w:val="restart"/>
            <w:tcBorders>
              <w:bottom w:val="nil"/>
            </w:tcBorders>
            <w:textDirection w:val="tbRlV"/>
            <w:vAlign w:val="top"/>
          </w:tcPr>
          <w:p w14:paraId="7F2F429E">
            <w:pPr>
              <w:pStyle w:val="6"/>
              <w:spacing w:before="255" w:line="213" w:lineRule="auto"/>
              <w:ind w:left="2101"/>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4235C083">
            <w:pPr>
              <w:spacing w:line="245" w:lineRule="auto"/>
              <w:rPr>
                <w:rFonts w:ascii="Arial"/>
                <w:sz w:val="21"/>
              </w:rPr>
            </w:pPr>
          </w:p>
          <w:p w14:paraId="7AD7B65F">
            <w:pPr>
              <w:spacing w:line="245" w:lineRule="auto"/>
              <w:rPr>
                <w:rFonts w:ascii="Arial"/>
                <w:sz w:val="21"/>
              </w:rPr>
            </w:pPr>
          </w:p>
          <w:p w14:paraId="57676DFC">
            <w:pPr>
              <w:spacing w:line="245" w:lineRule="auto"/>
              <w:rPr>
                <w:rFonts w:ascii="Arial"/>
                <w:sz w:val="21"/>
              </w:rPr>
            </w:pPr>
          </w:p>
          <w:p w14:paraId="32AC2FE9">
            <w:pPr>
              <w:spacing w:line="245" w:lineRule="auto"/>
              <w:rPr>
                <w:rFonts w:ascii="Arial"/>
                <w:sz w:val="21"/>
              </w:rPr>
            </w:pPr>
          </w:p>
          <w:p w14:paraId="485931B8">
            <w:pPr>
              <w:spacing w:line="246" w:lineRule="auto"/>
              <w:rPr>
                <w:rFonts w:ascii="Arial"/>
                <w:sz w:val="21"/>
              </w:rPr>
            </w:pPr>
          </w:p>
          <w:p w14:paraId="31E8CADD">
            <w:pPr>
              <w:spacing w:line="246" w:lineRule="auto"/>
              <w:rPr>
                <w:rFonts w:ascii="Arial"/>
                <w:sz w:val="21"/>
              </w:rPr>
            </w:pPr>
          </w:p>
          <w:p w14:paraId="028B6F6F">
            <w:pPr>
              <w:spacing w:line="246" w:lineRule="auto"/>
              <w:rPr>
                <w:rFonts w:ascii="Arial"/>
                <w:sz w:val="21"/>
              </w:rPr>
            </w:pPr>
          </w:p>
          <w:p w14:paraId="3D30D4F9">
            <w:pPr>
              <w:spacing w:line="246" w:lineRule="auto"/>
              <w:rPr>
                <w:rFonts w:ascii="Arial"/>
                <w:sz w:val="21"/>
              </w:rPr>
            </w:pPr>
          </w:p>
          <w:p w14:paraId="5FC0432E">
            <w:pPr>
              <w:pStyle w:val="6"/>
              <w:spacing w:before="62" w:line="311" w:lineRule="auto"/>
              <w:ind w:left="116" w:right="153" w:firstLine="10"/>
              <w:jc w:val="both"/>
            </w:pPr>
            <w:r>
              <w:rPr>
                <w:spacing w:val="4"/>
              </w:rPr>
              <w:t>3.对涉案物</w:t>
            </w:r>
            <w:r>
              <w:rPr>
                <w:spacing w:val="7"/>
              </w:rPr>
              <w:t>品查封、扣押、封存或</w:t>
            </w:r>
            <w:r>
              <w:rPr>
                <w:spacing w:val="2"/>
              </w:rPr>
              <w:t>暂扣</w:t>
            </w:r>
          </w:p>
        </w:tc>
        <w:tc>
          <w:tcPr>
            <w:tcW w:w="4532" w:type="dxa"/>
            <w:vMerge w:val="restart"/>
            <w:tcBorders>
              <w:bottom w:val="nil"/>
            </w:tcBorders>
            <w:vAlign w:val="top"/>
          </w:tcPr>
          <w:p w14:paraId="5413964E">
            <w:pPr>
              <w:spacing w:line="254" w:lineRule="auto"/>
              <w:rPr>
                <w:rFonts w:ascii="Arial"/>
                <w:sz w:val="21"/>
              </w:rPr>
            </w:pPr>
          </w:p>
          <w:p w14:paraId="0F1F43B9">
            <w:pPr>
              <w:spacing w:line="254" w:lineRule="auto"/>
              <w:rPr>
                <w:rFonts w:ascii="Arial"/>
                <w:sz w:val="21"/>
              </w:rPr>
            </w:pPr>
          </w:p>
          <w:p w14:paraId="2611B8C7">
            <w:pPr>
              <w:spacing w:line="254" w:lineRule="auto"/>
              <w:rPr>
                <w:rFonts w:ascii="Arial"/>
                <w:sz w:val="21"/>
              </w:rPr>
            </w:pPr>
          </w:p>
          <w:p w14:paraId="2A72224B">
            <w:pPr>
              <w:spacing w:line="254" w:lineRule="auto"/>
              <w:rPr>
                <w:rFonts w:ascii="Arial"/>
                <w:sz w:val="21"/>
              </w:rPr>
            </w:pPr>
          </w:p>
          <w:p w14:paraId="0E621BB8">
            <w:pPr>
              <w:pStyle w:val="6"/>
              <w:spacing w:before="62" w:line="310" w:lineRule="auto"/>
              <w:ind w:left="108" w:right="105"/>
              <w:jc w:val="both"/>
            </w:pPr>
            <w:r>
              <w:rPr>
                <w:spacing w:val="6"/>
              </w:rPr>
              <w:t>《中华人民共和国专利法》第六十四条：“管理专利工作的部门根据已经取得的证据，对涉嫌假</w:t>
            </w:r>
            <w:r>
              <w:rPr>
                <w:spacing w:val="5"/>
              </w:rPr>
              <w:t>冒专</w:t>
            </w:r>
            <w:r>
              <w:rPr>
                <w:spacing w:val="6"/>
              </w:rPr>
              <w:t>利行为进行查处时，可以询问有关当事人，调查与涉嫌违法行为有关的情况；对当事人涉嫌违法</w:t>
            </w:r>
            <w:r>
              <w:rPr>
                <w:spacing w:val="5"/>
              </w:rPr>
              <w:t>行为</w:t>
            </w:r>
            <w:r>
              <w:rPr>
                <w:spacing w:val="6"/>
              </w:rPr>
              <w:t>的场所实施现场检查；查阅、复制与涉嫌违法</w:t>
            </w:r>
            <w:r>
              <w:rPr>
                <w:spacing w:val="5"/>
              </w:rPr>
              <w:t>行为有关的合同、发票、账簿以及其他有关资料；检查</w:t>
            </w:r>
            <w:r>
              <w:rPr>
                <w:spacing w:val="6"/>
              </w:rPr>
              <w:t>与涉嫌违法行为有关的产品，对有证据证明是</w:t>
            </w:r>
            <w:r>
              <w:rPr>
                <w:spacing w:val="5"/>
              </w:rPr>
              <w:t>假冒</w:t>
            </w:r>
            <w:r>
              <w:rPr>
                <w:spacing w:val="6"/>
              </w:rPr>
              <w:t>专利的产品，可以查封或者扣押。管理专利工</w:t>
            </w:r>
            <w:r>
              <w:rPr>
                <w:spacing w:val="5"/>
              </w:rPr>
              <w:t>作的</w:t>
            </w:r>
            <w:r>
              <w:rPr>
                <w:spacing w:val="6"/>
              </w:rPr>
              <w:t>部门依法行使前款规定的职权时，当事人应当</w:t>
            </w:r>
            <w:r>
              <w:rPr>
                <w:spacing w:val="5"/>
              </w:rPr>
              <w:t>予以</w:t>
            </w:r>
            <w:r>
              <w:rPr>
                <w:spacing w:val="10"/>
              </w:rPr>
              <w:t>协助、配合，不得拒绝、</w:t>
            </w:r>
            <w:r>
              <w:rPr>
                <w:spacing w:val="-43"/>
              </w:rPr>
              <w:t xml:space="preserve"> </w:t>
            </w:r>
            <w:r>
              <w:rPr>
                <w:spacing w:val="10"/>
              </w:rPr>
              <w:t>阻挠。</w:t>
            </w:r>
            <w:r>
              <w:rPr>
                <w:spacing w:val="-59"/>
              </w:rPr>
              <w:t xml:space="preserve"> </w:t>
            </w:r>
            <w:r>
              <w:rPr>
                <w:spacing w:val="10"/>
              </w:rPr>
              <w:t>”</w:t>
            </w:r>
          </w:p>
        </w:tc>
        <w:tc>
          <w:tcPr>
            <w:tcW w:w="5713" w:type="dxa"/>
            <w:vAlign w:val="top"/>
          </w:tcPr>
          <w:p w14:paraId="525F71BA">
            <w:pPr>
              <w:spacing w:line="337" w:lineRule="auto"/>
              <w:rPr>
                <w:rFonts w:ascii="Arial"/>
                <w:sz w:val="21"/>
              </w:rPr>
            </w:pPr>
          </w:p>
          <w:p w14:paraId="198DD86D">
            <w:pPr>
              <w:pStyle w:val="6"/>
              <w:spacing w:before="62" w:line="224" w:lineRule="auto"/>
              <w:ind w:left="125"/>
            </w:pPr>
            <w:r>
              <w:rPr>
                <w:spacing w:val="8"/>
              </w:rPr>
              <w:t>1、核实违法事实，报行政机关负责人批准。</w:t>
            </w:r>
          </w:p>
        </w:tc>
        <w:tc>
          <w:tcPr>
            <w:tcW w:w="3023" w:type="dxa"/>
            <w:vMerge w:val="restart"/>
            <w:tcBorders>
              <w:bottom w:val="nil"/>
            </w:tcBorders>
            <w:vAlign w:val="top"/>
          </w:tcPr>
          <w:p w14:paraId="096F8E0E">
            <w:pPr>
              <w:spacing w:line="253" w:lineRule="auto"/>
              <w:rPr>
                <w:rFonts w:ascii="Arial"/>
                <w:sz w:val="21"/>
              </w:rPr>
            </w:pPr>
          </w:p>
          <w:p w14:paraId="7644F51E">
            <w:pPr>
              <w:spacing w:line="253" w:lineRule="auto"/>
              <w:rPr>
                <w:rFonts w:ascii="Arial"/>
                <w:sz w:val="21"/>
              </w:rPr>
            </w:pPr>
          </w:p>
          <w:p w14:paraId="4D47E406">
            <w:pPr>
              <w:spacing w:line="253" w:lineRule="auto"/>
              <w:rPr>
                <w:rFonts w:ascii="Arial"/>
                <w:sz w:val="21"/>
              </w:rPr>
            </w:pPr>
          </w:p>
          <w:p w14:paraId="600A4451">
            <w:pPr>
              <w:spacing w:line="253" w:lineRule="auto"/>
              <w:rPr>
                <w:rFonts w:ascii="Arial"/>
                <w:sz w:val="21"/>
              </w:rPr>
            </w:pPr>
          </w:p>
          <w:p w14:paraId="6C6C6FBB">
            <w:pPr>
              <w:spacing w:line="253" w:lineRule="auto"/>
              <w:rPr>
                <w:rFonts w:ascii="Arial"/>
                <w:sz w:val="21"/>
              </w:rPr>
            </w:pPr>
          </w:p>
          <w:p w14:paraId="7D850003">
            <w:pPr>
              <w:spacing w:line="253" w:lineRule="auto"/>
              <w:rPr>
                <w:rFonts w:ascii="Arial"/>
                <w:sz w:val="21"/>
              </w:rPr>
            </w:pPr>
          </w:p>
          <w:p w14:paraId="3A0B9F67">
            <w:pPr>
              <w:spacing w:line="253" w:lineRule="auto"/>
              <w:rPr>
                <w:rFonts w:ascii="Arial"/>
                <w:sz w:val="21"/>
              </w:rPr>
            </w:pPr>
          </w:p>
          <w:p w14:paraId="030F68DD">
            <w:pPr>
              <w:spacing w:line="253" w:lineRule="auto"/>
              <w:rPr>
                <w:rFonts w:ascii="Arial"/>
                <w:sz w:val="21"/>
              </w:rPr>
            </w:pPr>
          </w:p>
          <w:p w14:paraId="08760130">
            <w:pPr>
              <w:pStyle w:val="6"/>
              <w:spacing w:before="65" w:line="259" w:lineRule="auto"/>
              <w:ind w:left="111" w:right="54" w:firstLine="423"/>
              <w:jc w:val="both"/>
              <w:rPr>
                <w:sz w:val="20"/>
                <w:szCs w:val="20"/>
              </w:rPr>
            </w:pPr>
            <w:r>
              <w:rPr>
                <w:spacing w:val="15"/>
                <w:sz w:val="20"/>
                <w:szCs w:val="20"/>
              </w:rPr>
              <w:t>行政机关未履行法定职责或者违法行使职权的，责令改正；情节严重的，对直接负责的主管人员和其他直接责任人</w:t>
            </w:r>
            <w:r>
              <w:rPr>
                <w:spacing w:val="3"/>
                <w:sz w:val="20"/>
                <w:szCs w:val="20"/>
              </w:rPr>
              <w:t>员依法给予处分；构成犯罪的，</w:t>
            </w:r>
            <w:r>
              <w:rPr>
                <w:spacing w:val="8"/>
                <w:sz w:val="20"/>
                <w:szCs w:val="20"/>
              </w:rPr>
              <w:t>依法追究刑事责任。</w:t>
            </w:r>
          </w:p>
        </w:tc>
      </w:tr>
      <w:tr w14:paraId="74C55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724" w:type="dxa"/>
            <w:vMerge w:val="continue"/>
            <w:tcBorders>
              <w:top w:val="nil"/>
              <w:bottom w:val="nil"/>
            </w:tcBorders>
            <w:textDirection w:val="tbRlV"/>
            <w:vAlign w:val="top"/>
          </w:tcPr>
          <w:p w14:paraId="3DE4DBB8">
            <w:pPr>
              <w:rPr>
                <w:rFonts w:ascii="Arial"/>
                <w:sz w:val="21"/>
              </w:rPr>
            </w:pPr>
          </w:p>
        </w:tc>
        <w:tc>
          <w:tcPr>
            <w:tcW w:w="1260" w:type="dxa"/>
            <w:vMerge w:val="continue"/>
            <w:tcBorders>
              <w:top w:val="nil"/>
              <w:bottom w:val="nil"/>
            </w:tcBorders>
            <w:vAlign w:val="top"/>
          </w:tcPr>
          <w:p w14:paraId="68CE372D">
            <w:pPr>
              <w:rPr>
                <w:rFonts w:ascii="Arial"/>
                <w:sz w:val="21"/>
              </w:rPr>
            </w:pPr>
          </w:p>
        </w:tc>
        <w:tc>
          <w:tcPr>
            <w:tcW w:w="4532" w:type="dxa"/>
            <w:vMerge w:val="continue"/>
            <w:tcBorders>
              <w:top w:val="nil"/>
              <w:bottom w:val="nil"/>
            </w:tcBorders>
            <w:vAlign w:val="top"/>
          </w:tcPr>
          <w:p w14:paraId="1C141CBC">
            <w:pPr>
              <w:rPr>
                <w:rFonts w:ascii="Arial"/>
                <w:sz w:val="21"/>
              </w:rPr>
            </w:pPr>
          </w:p>
        </w:tc>
        <w:tc>
          <w:tcPr>
            <w:tcW w:w="5713" w:type="dxa"/>
            <w:vAlign w:val="top"/>
          </w:tcPr>
          <w:p w14:paraId="02A60FC2">
            <w:pPr>
              <w:spacing w:line="307" w:lineRule="auto"/>
              <w:rPr>
                <w:rFonts w:ascii="Arial"/>
                <w:sz w:val="21"/>
              </w:rPr>
            </w:pPr>
          </w:p>
          <w:p w14:paraId="223F49E4">
            <w:pPr>
              <w:pStyle w:val="6"/>
              <w:spacing w:before="62" w:line="224" w:lineRule="auto"/>
              <w:ind w:left="120"/>
            </w:pPr>
            <w:r>
              <w:rPr>
                <w:spacing w:val="7"/>
              </w:rPr>
              <w:t>2、依法作出处理决定。</w:t>
            </w:r>
          </w:p>
        </w:tc>
        <w:tc>
          <w:tcPr>
            <w:tcW w:w="3023" w:type="dxa"/>
            <w:vMerge w:val="continue"/>
            <w:tcBorders>
              <w:top w:val="nil"/>
              <w:bottom w:val="nil"/>
            </w:tcBorders>
            <w:vAlign w:val="top"/>
          </w:tcPr>
          <w:p w14:paraId="0FD63FE6">
            <w:pPr>
              <w:rPr>
                <w:rFonts w:ascii="Arial"/>
                <w:sz w:val="21"/>
              </w:rPr>
            </w:pPr>
          </w:p>
        </w:tc>
      </w:tr>
      <w:tr w14:paraId="188FE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4CA4544A">
            <w:pPr>
              <w:rPr>
                <w:rFonts w:ascii="Arial"/>
                <w:sz w:val="21"/>
              </w:rPr>
            </w:pPr>
          </w:p>
        </w:tc>
        <w:tc>
          <w:tcPr>
            <w:tcW w:w="1260" w:type="dxa"/>
            <w:vMerge w:val="continue"/>
            <w:tcBorders>
              <w:top w:val="nil"/>
              <w:bottom w:val="nil"/>
            </w:tcBorders>
            <w:vAlign w:val="top"/>
          </w:tcPr>
          <w:p w14:paraId="53E6D372">
            <w:pPr>
              <w:rPr>
                <w:rFonts w:ascii="Arial"/>
                <w:sz w:val="21"/>
              </w:rPr>
            </w:pPr>
          </w:p>
        </w:tc>
        <w:tc>
          <w:tcPr>
            <w:tcW w:w="4532" w:type="dxa"/>
            <w:vMerge w:val="continue"/>
            <w:tcBorders>
              <w:top w:val="nil"/>
              <w:bottom w:val="nil"/>
            </w:tcBorders>
            <w:vAlign w:val="top"/>
          </w:tcPr>
          <w:p w14:paraId="127A99DE">
            <w:pPr>
              <w:rPr>
                <w:rFonts w:ascii="Arial"/>
                <w:sz w:val="21"/>
              </w:rPr>
            </w:pPr>
          </w:p>
        </w:tc>
        <w:tc>
          <w:tcPr>
            <w:tcW w:w="5713" w:type="dxa"/>
            <w:vAlign w:val="top"/>
          </w:tcPr>
          <w:p w14:paraId="17A4185F">
            <w:pPr>
              <w:pStyle w:val="6"/>
              <w:spacing w:before="215" w:line="311" w:lineRule="auto"/>
              <w:ind w:left="109" w:right="104" w:firstLine="18"/>
              <w:jc w:val="both"/>
            </w:pPr>
            <w:r>
              <w:rPr>
                <w:spacing w:val="9"/>
              </w:rPr>
              <w:t>3、制作笔录，告知当事人采取强制措施的理由、依据</w:t>
            </w:r>
            <w:r>
              <w:rPr>
                <w:spacing w:val="8"/>
              </w:rPr>
              <w:t>及当事人</w:t>
            </w:r>
            <w:r>
              <w:rPr>
                <w:spacing w:val="10"/>
              </w:rPr>
              <w:t>依法享有的权利，并当场交付查封、扣押决定</w:t>
            </w:r>
            <w:r>
              <w:rPr>
                <w:spacing w:val="9"/>
              </w:rPr>
              <w:t>书和清单、实施</w:t>
            </w:r>
            <w:r>
              <w:rPr>
                <w:spacing w:val="7"/>
              </w:rPr>
              <w:t>查封、扣押。</w:t>
            </w:r>
          </w:p>
        </w:tc>
        <w:tc>
          <w:tcPr>
            <w:tcW w:w="3023" w:type="dxa"/>
            <w:vMerge w:val="continue"/>
            <w:tcBorders>
              <w:top w:val="nil"/>
              <w:bottom w:val="nil"/>
            </w:tcBorders>
            <w:vAlign w:val="top"/>
          </w:tcPr>
          <w:p w14:paraId="17BD51E6">
            <w:pPr>
              <w:rPr>
                <w:rFonts w:ascii="Arial"/>
                <w:sz w:val="21"/>
              </w:rPr>
            </w:pPr>
          </w:p>
        </w:tc>
      </w:tr>
      <w:tr w14:paraId="0B6ACC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142DA56E">
            <w:pPr>
              <w:rPr>
                <w:rFonts w:ascii="Arial"/>
                <w:sz w:val="21"/>
              </w:rPr>
            </w:pPr>
          </w:p>
        </w:tc>
        <w:tc>
          <w:tcPr>
            <w:tcW w:w="1260" w:type="dxa"/>
            <w:vMerge w:val="continue"/>
            <w:tcBorders>
              <w:top w:val="nil"/>
              <w:bottom w:val="nil"/>
            </w:tcBorders>
            <w:vAlign w:val="top"/>
          </w:tcPr>
          <w:p w14:paraId="53ABDE92">
            <w:pPr>
              <w:rPr>
                <w:rFonts w:ascii="Arial"/>
                <w:sz w:val="21"/>
              </w:rPr>
            </w:pPr>
          </w:p>
        </w:tc>
        <w:tc>
          <w:tcPr>
            <w:tcW w:w="4532" w:type="dxa"/>
            <w:vMerge w:val="continue"/>
            <w:tcBorders>
              <w:top w:val="nil"/>
              <w:bottom w:val="nil"/>
            </w:tcBorders>
            <w:vAlign w:val="top"/>
          </w:tcPr>
          <w:p w14:paraId="3609FE3F">
            <w:pPr>
              <w:rPr>
                <w:rFonts w:ascii="Arial"/>
                <w:sz w:val="21"/>
              </w:rPr>
            </w:pPr>
          </w:p>
        </w:tc>
        <w:tc>
          <w:tcPr>
            <w:tcW w:w="5713" w:type="dxa"/>
            <w:vAlign w:val="top"/>
          </w:tcPr>
          <w:p w14:paraId="52619F1B">
            <w:pPr>
              <w:pStyle w:val="6"/>
              <w:spacing w:before="66" w:line="310" w:lineRule="auto"/>
              <w:ind w:left="117" w:right="104" w:firstLine="2"/>
            </w:pPr>
            <w:r>
              <w:rPr>
                <w:spacing w:val="2"/>
              </w:rPr>
              <w:t>4、行政机关采取查封、扣押措施后，应当及时查清事实，在《中</w:t>
            </w:r>
            <w:r>
              <w:rPr>
                <w:spacing w:val="9"/>
              </w:rPr>
              <w:t>华人民共和国行政强制法》第二十五条规定的期限内作出处理决定。对违法事实清楚，依法应当没收的非法财物予以没收；</w:t>
            </w:r>
          </w:p>
          <w:p w14:paraId="133B8242">
            <w:pPr>
              <w:pStyle w:val="6"/>
              <w:spacing w:before="1" w:line="309" w:lineRule="auto"/>
              <w:ind w:left="119" w:right="244"/>
            </w:pPr>
            <w:r>
              <w:rPr>
                <w:spacing w:val="8"/>
              </w:rPr>
              <w:t>法律、行政法规规定应当销毁的，依法销毁；应当解</w:t>
            </w:r>
            <w:r>
              <w:rPr>
                <w:spacing w:val="7"/>
              </w:rPr>
              <w:t>除查封、</w:t>
            </w:r>
            <w:r>
              <w:rPr>
                <w:spacing w:val="8"/>
              </w:rPr>
              <w:t>扣押的，作出解除查封、扣押的决定。</w:t>
            </w:r>
          </w:p>
        </w:tc>
        <w:tc>
          <w:tcPr>
            <w:tcW w:w="3023" w:type="dxa"/>
            <w:vMerge w:val="continue"/>
            <w:tcBorders>
              <w:top w:val="nil"/>
              <w:bottom w:val="nil"/>
            </w:tcBorders>
            <w:vAlign w:val="top"/>
          </w:tcPr>
          <w:p w14:paraId="7A02C056">
            <w:pPr>
              <w:rPr>
                <w:rFonts w:ascii="Arial"/>
                <w:sz w:val="21"/>
              </w:rPr>
            </w:pPr>
          </w:p>
        </w:tc>
      </w:tr>
      <w:tr w14:paraId="6FC20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7DA619DE">
            <w:pPr>
              <w:rPr>
                <w:rFonts w:ascii="Arial"/>
                <w:sz w:val="21"/>
              </w:rPr>
            </w:pPr>
          </w:p>
        </w:tc>
        <w:tc>
          <w:tcPr>
            <w:tcW w:w="1260" w:type="dxa"/>
            <w:vMerge w:val="continue"/>
            <w:tcBorders>
              <w:top w:val="nil"/>
            </w:tcBorders>
            <w:vAlign w:val="top"/>
          </w:tcPr>
          <w:p w14:paraId="5C7C8F6E">
            <w:pPr>
              <w:rPr>
                <w:rFonts w:ascii="Arial"/>
                <w:sz w:val="21"/>
              </w:rPr>
            </w:pPr>
          </w:p>
        </w:tc>
        <w:tc>
          <w:tcPr>
            <w:tcW w:w="4532" w:type="dxa"/>
            <w:vMerge w:val="continue"/>
            <w:tcBorders>
              <w:top w:val="nil"/>
            </w:tcBorders>
            <w:vAlign w:val="top"/>
          </w:tcPr>
          <w:p w14:paraId="3BA97D48">
            <w:pPr>
              <w:rPr>
                <w:rFonts w:ascii="Arial"/>
                <w:sz w:val="21"/>
              </w:rPr>
            </w:pPr>
          </w:p>
        </w:tc>
        <w:tc>
          <w:tcPr>
            <w:tcW w:w="5713" w:type="dxa"/>
            <w:vAlign w:val="top"/>
          </w:tcPr>
          <w:p w14:paraId="3F14C06F">
            <w:pPr>
              <w:pStyle w:val="6"/>
              <w:spacing w:before="89" w:line="224" w:lineRule="auto"/>
              <w:ind w:left="123"/>
            </w:pPr>
            <w:r>
              <w:rPr>
                <w:spacing w:val="8"/>
              </w:rPr>
              <w:t>5、其他法律法规规章规定应履行的责任。</w:t>
            </w:r>
          </w:p>
        </w:tc>
        <w:tc>
          <w:tcPr>
            <w:tcW w:w="3023" w:type="dxa"/>
            <w:vMerge w:val="continue"/>
            <w:tcBorders>
              <w:top w:val="nil"/>
            </w:tcBorders>
            <w:vAlign w:val="top"/>
          </w:tcPr>
          <w:p w14:paraId="1F475CEF">
            <w:pPr>
              <w:rPr>
                <w:rFonts w:ascii="Arial"/>
                <w:sz w:val="21"/>
              </w:rPr>
            </w:pPr>
          </w:p>
        </w:tc>
      </w:tr>
      <w:tr w14:paraId="0ABDC1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55EC32DB">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9A825AD">
      <w:pPr>
        <w:rPr>
          <w:rFonts w:ascii="Arial"/>
          <w:sz w:val="21"/>
        </w:rPr>
      </w:pPr>
    </w:p>
    <w:p w14:paraId="2F48DB14">
      <w:pPr>
        <w:rPr>
          <w:rFonts w:ascii="Arial" w:hAnsi="Arial" w:eastAsia="Arial" w:cs="Arial"/>
          <w:sz w:val="21"/>
          <w:szCs w:val="21"/>
        </w:rPr>
        <w:sectPr>
          <w:footerReference r:id="rId7" w:type="default"/>
          <w:pgSz w:w="16839" w:h="11906"/>
          <w:pgMar w:top="1012" w:right="685" w:bottom="1213" w:left="895" w:header="0" w:footer="938" w:gutter="0"/>
          <w:cols w:space="720" w:num="1"/>
        </w:sectPr>
      </w:pPr>
    </w:p>
    <w:p w14:paraId="7A6F712F">
      <w:pPr>
        <w:spacing w:before="36"/>
      </w:pPr>
    </w:p>
    <w:p w14:paraId="052A2909">
      <w:pPr>
        <w:spacing w:before="36"/>
      </w:pPr>
    </w:p>
    <w:p w14:paraId="520A6747">
      <w:pPr>
        <w:spacing w:before="36"/>
      </w:pPr>
    </w:p>
    <w:p w14:paraId="5F65B611">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7531"/>
        <w:gridCol w:w="3719"/>
        <w:gridCol w:w="2018"/>
      </w:tblGrid>
      <w:tr w14:paraId="067BB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3E195820">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A3EA2E4">
            <w:pPr>
              <w:spacing w:before="32"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BE5C548">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7531" w:type="dxa"/>
            <w:vAlign w:val="top"/>
          </w:tcPr>
          <w:p w14:paraId="473CB05A">
            <w:pPr>
              <w:spacing w:before="190" w:line="228" w:lineRule="auto"/>
              <w:ind w:left="3354"/>
              <w:rPr>
                <w:rFonts w:ascii="宋体" w:hAnsi="宋体" w:eastAsia="宋体" w:cs="宋体"/>
                <w:sz w:val="20"/>
                <w:szCs w:val="20"/>
              </w:rPr>
            </w:pPr>
            <w:r>
              <w:rPr>
                <w:rFonts w:ascii="宋体" w:hAnsi="宋体" w:eastAsia="宋体" w:cs="宋体"/>
                <w:b/>
                <w:bCs/>
                <w:spacing w:val="5"/>
                <w:sz w:val="20"/>
                <w:szCs w:val="20"/>
              </w:rPr>
              <w:t>实施依据</w:t>
            </w:r>
          </w:p>
        </w:tc>
        <w:tc>
          <w:tcPr>
            <w:tcW w:w="3719" w:type="dxa"/>
            <w:vAlign w:val="top"/>
          </w:tcPr>
          <w:p w14:paraId="207C86D7">
            <w:pPr>
              <w:spacing w:before="190" w:line="228" w:lineRule="auto"/>
              <w:ind w:left="873"/>
              <w:rPr>
                <w:rFonts w:ascii="宋体" w:hAnsi="宋体" w:eastAsia="宋体" w:cs="宋体"/>
                <w:sz w:val="20"/>
                <w:szCs w:val="20"/>
              </w:rPr>
            </w:pPr>
            <w:r>
              <w:rPr>
                <w:rFonts w:ascii="宋体" w:hAnsi="宋体" w:eastAsia="宋体" w:cs="宋体"/>
                <w:b/>
                <w:bCs/>
                <w:spacing w:val="6"/>
                <w:sz w:val="20"/>
                <w:szCs w:val="20"/>
              </w:rPr>
              <w:t>责任事项（岗位责任)</w:t>
            </w:r>
          </w:p>
        </w:tc>
        <w:tc>
          <w:tcPr>
            <w:tcW w:w="2018" w:type="dxa"/>
            <w:vAlign w:val="top"/>
          </w:tcPr>
          <w:p w14:paraId="45097CE2">
            <w:pPr>
              <w:spacing w:before="190" w:line="228" w:lineRule="auto"/>
              <w:ind w:left="593"/>
              <w:rPr>
                <w:rFonts w:ascii="宋体" w:hAnsi="宋体" w:eastAsia="宋体" w:cs="宋体"/>
                <w:sz w:val="20"/>
                <w:szCs w:val="20"/>
              </w:rPr>
            </w:pPr>
            <w:r>
              <w:rPr>
                <w:rFonts w:ascii="宋体" w:hAnsi="宋体" w:eastAsia="宋体" w:cs="宋体"/>
                <w:b/>
                <w:bCs/>
                <w:spacing w:val="6"/>
                <w:sz w:val="20"/>
                <w:szCs w:val="20"/>
              </w:rPr>
              <w:t>违法责任</w:t>
            </w:r>
          </w:p>
        </w:tc>
      </w:tr>
      <w:tr w14:paraId="000D96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724" w:type="dxa"/>
            <w:vMerge w:val="restart"/>
            <w:tcBorders>
              <w:bottom w:val="nil"/>
            </w:tcBorders>
            <w:textDirection w:val="tbRlV"/>
            <w:vAlign w:val="top"/>
          </w:tcPr>
          <w:p w14:paraId="07B58681">
            <w:pPr>
              <w:pStyle w:val="6"/>
              <w:spacing w:before="255" w:line="213" w:lineRule="auto"/>
              <w:ind w:left="2676"/>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30B72DA4">
            <w:pPr>
              <w:spacing w:line="246" w:lineRule="auto"/>
              <w:rPr>
                <w:rFonts w:ascii="Arial"/>
                <w:sz w:val="21"/>
              </w:rPr>
            </w:pPr>
          </w:p>
          <w:p w14:paraId="1F8463B6">
            <w:pPr>
              <w:spacing w:line="246" w:lineRule="auto"/>
              <w:rPr>
                <w:rFonts w:ascii="Arial"/>
                <w:sz w:val="21"/>
              </w:rPr>
            </w:pPr>
          </w:p>
          <w:p w14:paraId="096293AC">
            <w:pPr>
              <w:spacing w:line="246" w:lineRule="auto"/>
              <w:rPr>
                <w:rFonts w:ascii="Arial"/>
                <w:sz w:val="21"/>
              </w:rPr>
            </w:pPr>
          </w:p>
          <w:p w14:paraId="419E3BF8">
            <w:pPr>
              <w:spacing w:line="246" w:lineRule="auto"/>
              <w:rPr>
                <w:rFonts w:ascii="Arial"/>
                <w:sz w:val="21"/>
              </w:rPr>
            </w:pPr>
          </w:p>
          <w:p w14:paraId="1A664743">
            <w:pPr>
              <w:spacing w:line="246" w:lineRule="auto"/>
              <w:rPr>
                <w:rFonts w:ascii="Arial"/>
                <w:sz w:val="21"/>
              </w:rPr>
            </w:pPr>
          </w:p>
          <w:p w14:paraId="300479F3">
            <w:pPr>
              <w:spacing w:line="247" w:lineRule="auto"/>
              <w:rPr>
                <w:rFonts w:ascii="Arial"/>
                <w:sz w:val="21"/>
              </w:rPr>
            </w:pPr>
          </w:p>
          <w:p w14:paraId="1033C859">
            <w:pPr>
              <w:spacing w:line="247" w:lineRule="auto"/>
              <w:rPr>
                <w:rFonts w:ascii="Arial"/>
                <w:sz w:val="21"/>
              </w:rPr>
            </w:pPr>
          </w:p>
          <w:p w14:paraId="151EE0A9">
            <w:pPr>
              <w:spacing w:line="247" w:lineRule="auto"/>
              <w:rPr>
                <w:rFonts w:ascii="Arial"/>
                <w:sz w:val="21"/>
              </w:rPr>
            </w:pPr>
          </w:p>
          <w:p w14:paraId="7833F1F8">
            <w:pPr>
              <w:spacing w:line="247" w:lineRule="auto"/>
              <w:rPr>
                <w:rFonts w:ascii="Arial"/>
                <w:sz w:val="21"/>
              </w:rPr>
            </w:pPr>
          </w:p>
          <w:p w14:paraId="7EF74BE4">
            <w:pPr>
              <w:pStyle w:val="6"/>
              <w:spacing w:before="62" w:line="310" w:lineRule="auto"/>
              <w:ind w:left="111" w:right="153" w:firstLine="6"/>
            </w:pPr>
            <w:r>
              <w:rPr>
                <w:spacing w:val="5"/>
              </w:rPr>
              <w:t>4.强制收购</w:t>
            </w:r>
            <w:r>
              <w:rPr>
                <w:spacing w:val="7"/>
              </w:rPr>
              <w:t>或贬值收</w:t>
            </w:r>
          </w:p>
          <w:p w14:paraId="0433EE95">
            <w:pPr>
              <w:pStyle w:val="6"/>
              <w:spacing w:line="310" w:lineRule="auto"/>
              <w:ind w:left="112" w:right="153" w:firstLine="2"/>
            </w:pPr>
            <w:r>
              <w:rPr>
                <w:spacing w:val="7"/>
              </w:rPr>
              <w:t>购、没收违反《金银管理条例》的</w:t>
            </w:r>
            <w:r>
              <w:rPr>
                <w:spacing w:val="4"/>
              </w:rPr>
              <w:t>财物</w:t>
            </w:r>
          </w:p>
        </w:tc>
        <w:tc>
          <w:tcPr>
            <w:tcW w:w="7531" w:type="dxa"/>
            <w:vMerge w:val="restart"/>
            <w:tcBorders>
              <w:bottom w:val="nil"/>
            </w:tcBorders>
            <w:vAlign w:val="top"/>
          </w:tcPr>
          <w:p w14:paraId="11EAC849">
            <w:pPr>
              <w:pStyle w:val="6"/>
              <w:spacing w:before="59" w:line="310" w:lineRule="auto"/>
              <w:ind w:left="108" w:right="51"/>
              <w:jc w:val="both"/>
            </w:pPr>
            <w:r>
              <w:rPr>
                <w:spacing w:val="4"/>
              </w:rPr>
              <w:t>《中华人民共和国金银管理条例》第八条：“金银的收购，统一由中国</w:t>
            </w:r>
            <w:r>
              <w:rPr>
                <w:spacing w:val="3"/>
              </w:rPr>
              <w:t>人民银行办理。</w:t>
            </w:r>
            <w:r>
              <w:rPr>
                <w:spacing w:val="2"/>
              </w:rPr>
              <w:t>除经中国人民银行许可、委托的以外，任何单位和个人不得收购金银。”第九条：“从</w:t>
            </w:r>
            <w:r>
              <w:rPr>
                <w:spacing w:val="7"/>
              </w:rPr>
              <w:t>事金银生产(包括矿藏生产和冶炼副产)的厂矿企业、农村社队、部队和个人所采炼的</w:t>
            </w:r>
            <w:r>
              <w:rPr>
                <w:spacing w:val="8"/>
              </w:rPr>
              <w:t>金银，必须全部交售给中国人民银行，不得自行销</w:t>
            </w:r>
            <w:r>
              <w:rPr>
                <w:spacing w:val="7"/>
              </w:rPr>
              <w:t>售、交换和留用。前款所列生产单</w:t>
            </w:r>
            <w:r>
              <w:rPr>
                <w:spacing w:val="8"/>
              </w:rPr>
              <w:t>位，对生产过程中的金银成品和半成品，必须按照</w:t>
            </w:r>
            <w:r>
              <w:rPr>
                <w:spacing w:val="7"/>
              </w:rPr>
              <w:t>有关规定加强管理，不得私自销售和处理。第十条：“</w:t>
            </w:r>
            <w:r>
              <w:rPr>
                <w:spacing w:val="-70"/>
              </w:rPr>
              <w:t xml:space="preserve"> </w:t>
            </w:r>
            <w:r>
              <w:rPr>
                <w:spacing w:val="7"/>
              </w:rPr>
              <w:t>国家鼓励经营单位和使用金银的单位，从伴生金银的</w:t>
            </w:r>
            <w:r>
              <w:rPr>
                <w:spacing w:val="6"/>
              </w:rPr>
              <w:t>矿种和含金</w:t>
            </w:r>
            <w:r>
              <w:rPr>
                <w:spacing w:val="8"/>
              </w:rPr>
              <w:t>银的废渣、废液、废料中回收金银。前款所列单位</w:t>
            </w:r>
            <w:r>
              <w:rPr>
                <w:spacing w:val="7"/>
              </w:rPr>
              <w:t>必须将回收的金银交售给中国人民</w:t>
            </w:r>
            <w:r>
              <w:rPr>
                <w:spacing w:val="8"/>
              </w:rPr>
              <w:t>银行，不得自行销售、交换和留用。但是，经</w:t>
            </w:r>
            <w:r>
              <w:rPr>
                <w:spacing w:val="7"/>
              </w:rPr>
              <w:t>中国人民银行许可，使用金银的单位将</w:t>
            </w:r>
            <w:r>
              <w:rPr>
                <w:spacing w:val="8"/>
              </w:rPr>
              <w:t>回收的金银重新利用的除外。”第十一条：“</w:t>
            </w:r>
            <w:r>
              <w:rPr>
                <w:spacing w:val="7"/>
              </w:rPr>
              <w:t>境内机构从国外进口的金银和矿产品中</w:t>
            </w:r>
            <w:r>
              <w:rPr>
                <w:spacing w:val="8"/>
              </w:rPr>
              <w:t>采炼的副产金银，除经中国人民银行允许留用</w:t>
            </w:r>
            <w:r>
              <w:rPr>
                <w:spacing w:val="7"/>
              </w:rPr>
              <w:t>的或者按照规定用于进料加工复出口的</w:t>
            </w:r>
            <w:r>
              <w:rPr>
                <w:spacing w:val="5"/>
              </w:rPr>
              <w:t>金银以外，一律交售给中国人民银行，不得自行销售、交换和留用。”第三十</w:t>
            </w:r>
            <w:r>
              <w:rPr>
                <w:spacing w:val="4"/>
              </w:rPr>
              <w:t>一条 违</w:t>
            </w:r>
            <w:r>
              <w:rPr>
                <w:spacing w:val="8"/>
              </w:rPr>
              <w:t>反本条例的下列行为，根据情节轻重，分别由中国</w:t>
            </w:r>
            <w:r>
              <w:rPr>
                <w:spacing w:val="7"/>
              </w:rPr>
              <w:t>人民银行、工商行政管理机关和海</w:t>
            </w:r>
            <w:r>
              <w:rPr>
                <w:spacing w:val="3"/>
              </w:rPr>
              <w:t>关按照各自的职责权限给予以下处罚:</w:t>
            </w:r>
            <w:r>
              <w:rPr>
                <w:spacing w:val="-39"/>
              </w:rPr>
              <w:t xml:space="preserve"> </w:t>
            </w:r>
            <w:r>
              <w:rPr>
                <w:spacing w:val="3"/>
              </w:rPr>
              <w:t>(一)</w:t>
            </w:r>
            <w:r>
              <w:rPr>
                <w:spacing w:val="-61"/>
              </w:rPr>
              <w:t xml:space="preserve"> </w:t>
            </w:r>
            <w:r>
              <w:rPr>
                <w:spacing w:val="3"/>
              </w:rPr>
              <w:t>…</w:t>
            </w:r>
            <w:r>
              <w:rPr>
                <w:spacing w:val="-62"/>
              </w:rPr>
              <w:t xml:space="preserve"> </w:t>
            </w:r>
            <w:r>
              <w:rPr>
                <w:spacing w:val="3"/>
              </w:rPr>
              <w:t>…擅自收购、销售、交换和留用金银的，</w:t>
            </w:r>
            <w:r>
              <w:rPr>
                <w:spacing w:val="8"/>
              </w:rPr>
              <w:t>由中国人民银行或者工商行政管理机关予以强制收</w:t>
            </w:r>
            <w:r>
              <w:rPr>
                <w:spacing w:val="7"/>
              </w:rPr>
              <w:t>购或者贬值收购。情节严重的，工</w:t>
            </w:r>
            <w:r>
              <w:rPr>
                <w:spacing w:val="8"/>
              </w:rPr>
              <w:t>商行政管理机关可并处以罚款，或者单处以没收。</w:t>
            </w:r>
            <w:r>
              <w:rPr>
                <w:spacing w:val="7"/>
              </w:rPr>
              <w:t>违反本条例第八、九、十、十一条</w:t>
            </w:r>
            <w:r>
              <w:rPr>
                <w:spacing w:val="3"/>
              </w:rPr>
              <w:t>规定的，工商行政管理机关可另处以吊销营业执照。…</w:t>
            </w:r>
            <w:r>
              <w:rPr>
                <w:spacing w:val="-53"/>
              </w:rPr>
              <w:t xml:space="preserve"> </w:t>
            </w:r>
            <w:r>
              <w:rPr>
                <w:spacing w:val="3"/>
              </w:rPr>
              <w:t>…</w:t>
            </w:r>
            <w:r>
              <w:rPr>
                <w:spacing w:val="58"/>
              </w:rPr>
              <w:t xml:space="preserve"> </w:t>
            </w:r>
            <w:r>
              <w:rPr>
                <w:spacing w:val="3"/>
              </w:rPr>
              <w:t>(四)</w:t>
            </w:r>
            <w:r>
              <w:rPr>
                <w:spacing w:val="37"/>
              </w:rPr>
              <w:t xml:space="preserve"> </w:t>
            </w:r>
            <w:r>
              <w:rPr>
                <w:spacing w:val="3"/>
              </w:rPr>
              <w:t>…</w:t>
            </w:r>
            <w:r>
              <w:rPr>
                <w:spacing w:val="-62"/>
              </w:rPr>
              <w:t xml:space="preserve"> </w:t>
            </w:r>
            <w:r>
              <w:rPr>
                <w:spacing w:val="3"/>
              </w:rPr>
              <w:t>…未经批准私自经</w:t>
            </w:r>
            <w:r>
              <w:rPr>
                <w:spacing w:val="8"/>
              </w:rPr>
              <w:t>营的，或者擅自改变经营范围的，或者套购、</w:t>
            </w:r>
            <w:r>
              <w:rPr>
                <w:spacing w:val="7"/>
              </w:rPr>
              <w:t>挪用、克扣金银的，由工商行政管理机</w:t>
            </w:r>
            <w:r>
              <w:rPr>
                <w:spacing w:val="6"/>
              </w:rPr>
              <w:t>关处以罚款或者没收。情节严重的，可并处以吊销营业执照、责令停</w:t>
            </w:r>
            <w:r>
              <w:rPr>
                <w:spacing w:val="5"/>
              </w:rPr>
              <w:t>业。</w:t>
            </w:r>
            <w:r>
              <w:rPr>
                <w:spacing w:val="-23"/>
              </w:rPr>
              <w:t xml:space="preserve"> </w:t>
            </w:r>
            <w:r>
              <w:rPr>
                <w:spacing w:val="5"/>
              </w:rPr>
              <w:t>(五)</w:t>
            </w:r>
            <w:r>
              <w:rPr>
                <w:spacing w:val="37"/>
              </w:rPr>
              <w:t xml:space="preserve"> </w:t>
            </w:r>
            <w:r>
              <w:rPr>
                <w:spacing w:val="5"/>
              </w:rPr>
              <w:t>…</w:t>
            </w:r>
            <w:r>
              <w:rPr>
                <w:spacing w:val="-62"/>
              </w:rPr>
              <w:t xml:space="preserve"> </w:t>
            </w:r>
            <w:r>
              <w:rPr>
                <w:spacing w:val="5"/>
              </w:rPr>
              <w:t>…</w:t>
            </w:r>
            <w:r>
              <w:rPr>
                <w:spacing w:val="8"/>
              </w:rPr>
              <w:t>将金银计价使用、私相买卖、借贷抵押的，由中国</w:t>
            </w:r>
            <w:r>
              <w:rPr>
                <w:spacing w:val="7"/>
              </w:rPr>
              <w:t>人民银行或者工商行政管理机关予</w:t>
            </w:r>
            <w:r>
              <w:rPr>
                <w:spacing w:val="8"/>
              </w:rPr>
              <w:t>以强制收购或者贬值收购。情节严重的，</w:t>
            </w:r>
            <w:r>
              <w:rPr>
                <w:spacing w:val="-41"/>
              </w:rPr>
              <w:t xml:space="preserve"> </w:t>
            </w:r>
            <w:r>
              <w:rPr>
                <w:spacing w:val="8"/>
              </w:rPr>
              <w:t>由工商行政管理机关处以罚款或者没收。</w:t>
            </w:r>
          </w:p>
        </w:tc>
        <w:tc>
          <w:tcPr>
            <w:tcW w:w="3719" w:type="dxa"/>
            <w:vAlign w:val="top"/>
          </w:tcPr>
          <w:p w14:paraId="61CC1920">
            <w:pPr>
              <w:pStyle w:val="6"/>
              <w:spacing w:before="241" w:line="311" w:lineRule="auto"/>
              <w:ind w:left="118" w:right="108" w:firstLine="8"/>
            </w:pPr>
            <w:r>
              <w:rPr>
                <w:spacing w:val="8"/>
              </w:rPr>
              <w:t>1、核实违法事实，报行政机关负责人批</w:t>
            </w:r>
            <w:r>
              <w:rPr>
                <w:spacing w:val="-2"/>
              </w:rPr>
              <w:t>准。</w:t>
            </w:r>
          </w:p>
        </w:tc>
        <w:tc>
          <w:tcPr>
            <w:tcW w:w="2018" w:type="dxa"/>
            <w:vMerge w:val="restart"/>
            <w:tcBorders>
              <w:bottom w:val="nil"/>
            </w:tcBorders>
            <w:vAlign w:val="top"/>
          </w:tcPr>
          <w:p w14:paraId="247CD232">
            <w:pPr>
              <w:spacing w:line="241" w:lineRule="auto"/>
              <w:rPr>
                <w:rFonts w:ascii="Arial"/>
                <w:sz w:val="21"/>
              </w:rPr>
            </w:pPr>
          </w:p>
          <w:p w14:paraId="62B521DC">
            <w:pPr>
              <w:spacing w:line="241" w:lineRule="auto"/>
              <w:rPr>
                <w:rFonts w:ascii="Arial"/>
                <w:sz w:val="21"/>
              </w:rPr>
            </w:pPr>
          </w:p>
          <w:p w14:paraId="31CC05E2">
            <w:pPr>
              <w:spacing w:line="241" w:lineRule="auto"/>
              <w:rPr>
                <w:rFonts w:ascii="Arial"/>
                <w:sz w:val="21"/>
              </w:rPr>
            </w:pPr>
          </w:p>
          <w:p w14:paraId="6413CD2A">
            <w:pPr>
              <w:spacing w:line="241" w:lineRule="auto"/>
              <w:rPr>
                <w:rFonts w:ascii="Arial"/>
                <w:sz w:val="21"/>
              </w:rPr>
            </w:pPr>
          </w:p>
          <w:p w14:paraId="6197E57E">
            <w:pPr>
              <w:spacing w:line="242" w:lineRule="auto"/>
              <w:rPr>
                <w:rFonts w:ascii="Arial"/>
                <w:sz w:val="21"/>
              </w:rPr>
            </w:pPr>
          </w:p>
          <w:p w14:paraId="6FD5F4E4">
            <w:pPr>
              <w:spacing w:line="242" w:lineRule="auto"/>
              <w:rPr>
                <w:rFonts w:ascii="Arial"/>
                <w:sz w:val="21"/>
              </w:rPr>
            </w:pPr>
          </w:p>
          <w:p w14:paraId="53E78CCF">
            <w:pPr>
              <w:spacing w:line="242" w:lineRule="auto"/>
              <w:rPr>
                <w:rFonts w:ascii="Arial"/>
                <w:sz w:val="21"/>
              </w:rPr>
            </w:pPr>
          </w:p>
          <w:p w14:paraId="444D164F">
            <w:pPr>
              <w:spacing w:line="242" w:lineRule="auto"/>
              <w:rPr>
                <w:rFonts w:ascii="Arial"/>
                <w:sz w:val="21"/>
              </w:rPr>
            </w:pPr>
          </w:p>
          <w:p w14:paraId="73CC0F65">
            <w:pPr>
              <w:spacing w:line="242" w:lineRule="auto"/>
              <w:rPr>
                <w:rFonts w:ascii="Arial"/>
                <w:sz w:val="21"/>
              </w:rPr>
            </w:pPr>
          </w:p>
          <w:p w14:paraId="40072F10">
            <w:pPr>
              <w:pStyle w:val="6"/>
              <w:spacing w:before="65" w:line="259" w:lineRule="auto"/>
              <w:ind w:left="113" w:right="75" w:firstLine="2"/>
              <w:jc w:val="both"/>
              <w:rPr>
                <w:sz w:val="20"/>
                <w:szCs w:val="20"/>
              </w:rPr>
            </w:pPr>
            <w:r>
              <w:rPr>
                <w:spacing w:val="23"/>
                <w:sz w:val="20"/>
                <w:szCs w:val="20"/>
              </w:rPr>
              <w:t>行政机关未履行法</w:t>
            </w:r>
            <w:r>
              <w:rPr>
                <w:spacing w:val="24"/>
                <w:sz w:val="20"/>
                <w:szCs w:val="20"/>
              </w:rPr>
              <w:t>定职责或者违法行</w:t>
            </w:r>
            <w:r>
              <w:rPr>
                <w:spacing w:val="18"/>
                <w:sz w:val="20"/>
                <w:szCs w:val="20"/>
              </w:rPr>
              <w:t>使职权的，</w:t>
            </w:r>
            <w:r>
              <w:rPr>
                <w:spacing w:val="-53"/>
                <w:sz w:val="20"/>
                <w:szCs w:val="20"/>
              </w:rPr>
              <w:t xml:space="preserve"> </w:t>
            </w:r>
            <w:r>
              <w:rPr>
                <w:spacing w:val="18"/>
                <w:sz w:val="20"/>
                <w:szCs w:val="20"/>
              </w:rPr>
              <w:t>责令改</w:t>
            </w:r>
            <w:r>
              <w:rPr>
                <w:spacing w:val="-1"/>
                <w:sz w:val="20"/>
                <w:szCs w:val="20"/>
              </w:rPr>
              <w:t>正；情节严重的，对</w:t>
            </w:r>
            <w:r>
              <w:rPr>
                <w:spacing w:val="24"/>
                <w:sz w:val="20"/>
                <w:szCs w:val="20"/>
              </w:rPr>
              <w:t>直接负责的主管人员和其他直接责任</w:t>
            </w:r>
            <w:r>
              <w:rPr>
                <w:spacing w:val="2"/>
                <w:sz w:val="20"/>
                <w:szCs w:val="20"/>
              </w:rPr>
              <w:t>人员依法给予处分；</w:t>
            </w:r>
            <w:r>
              <w:rPr>
                <w:spacing w:val="-1"/>
                <w:sz w:val="20"/>
                <w:szCs w:val="20"/>
              </w:rPr>
              <w:t>构成犯罪的，依法追</w:t>
            </w:r>
            <w:r>
              <w:rPr>
                <w:spacing w:val="7"/>
                <w:sz w:val="20"/>
                <w:szCs w:val="20"/>
              </w:rPr>
              <w:t>究刑事责任。</w:t>
            </w:r>
          </w:p>
        </w:tc>
      </w:tr>
      <w:tr w14:paraId="26AA6C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724" w:type="dxa"/>
            <w:vMerge w:val="continue"/>
            <w:tcBorders>
              <w:top w:val="nil"/>
              <w:bottom w:val="nil"/>
            </w:tcBorders>
            <w:textDirection w:val="tbRlV"/>
            <w:vAlign w:val="top"/>
          </w:tcPr>
          <w:p w14:paraId="6EA5EB95">
            <w:pPr>
              <w:rPr>
                <w:rFonts w:ascii="Arial"/>
                <w:sz w:val="21"/>
              </w:rPr>
            </w:pPr>
          </w:p>
        </w:tc>
        <w:tc>
          <w:tcPr>
            <w:tcW w:w="1260" w:type="dxa"/>
            <w:vMerge w:val="continue"/>
            <w:tcBorders>
              <w:top w:val="nil"/>
              <w:bottom w:val="nil"/>
            </w:tcBorders>
            <w:vAlign w:val="top"/>
          </w:tcPr>
          <w:p w14:paraId="786092D1">
            <w:pPr>
              <w:rPr>
                <w:rFonts w:ascii="Arial"/>
                <w:sz w:val="21"/>
              </w:rPr>
            </w:pPr>
          </w:p>
        </w:tc>
        <w:tc>
          <w:tcPr>
            <w:tcW w:w="7531" w:type="dxa"/>
            <w:vMerge w:val="continue"/>
            <w:tcBorders>
              <w:top w:val="nil"/>
              <w:bottom w:val="nil"/>
            </w:tcBorders>
            <w:vAlign w:val="top"/>
          </w:tcPr>
          <w:p w14:paraId="484EBE0D">
            <w:pPr>
              <w:rPr>
                <w:rFonts w:ascii="Arial"/>
                <w:sz w:val="21"/>
              </w:rPr>
            </w:pPr>
          </w:p>
        </w:tc>
        <w:tc>
          <w:tcPr>
            <w:tcW w:w="3719" w:type="dxa"/>
            <w:vAlign w:val="top"/>
          </w:tcPr>
          <w:p w14:paraId="1BD3AE20">
            <w:pPr>
              <w:spacing w:line="306" w:lineRule="auto"/>
              <w:rPr>
                <w:rFonts w:ascii="Arial"/>
                <w:sz w:val="21"/>
              </w:rPr>
            </w:pPr>
          </w:p>
          <w:p w14:paraId="345E386E">
            <w:pPr>
              <w:pStyle w:val="6"/>
              <w:spacing w:before="62" w:line="224" w:lineRule="auto"/>
              <w:ind w:left="121"/>
            </w:pPr>
            <w:r>
              <w:rPr>
                <w:spacing w:val="7"/>
              </w:rPr>
              <w:t>2、依法作出处理决定。</w:t>
            </w:r>
          </w:p>
        </w:tc>
        <w:tc>
          <w:tcPr>
            <w:tcW w:w="2018" w:type="dxa"/>
            <w:vMerge w:val="continue"/>
            <w:tcBorders>
              <w:top w:val="nil"/>
              <w:bottom w:val="nil"/>
            </w:tcBorders>
            <w:vAlign w:val="top"/>
          </w:tcPr>
          <w:p w14:paraId="5995E9C4">
            <w:pPr>
              <w:rPr>
                <w:rFonts w:ascii="Arial"/>
                <w:sz w:val="21"/>
              </w:rPr>
            </w:pPr>
          </w:p>
        </w:tc>
      </w:tr>
      <w:tr w14:paraId="3258F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0" w:hRule="atLeast"/>
        </w:trPr>
        <w:tc>
          <w:tcPr>
            <w:tcW w:w="724" w:type="dxa"/>
            <w:vMerge w:val="continue"/>
            <w:tcBorders>
              <w:top w:val="nil"/>
              <w:bottom w:val="nil"/>
            </w:tcBorders>
            <w:textDirection w:val="tbRlV"/>
            <w:vAlign w:val="top"/>
          </w:tcPr>
          <w:p w14:paraId="6E5F4A03">
            <w:pPr>
              <w:rPr>
                <w:rFonts w:ascii="Arial"/>
                <w:sz w:val="21"/>
              </w:rPr>
            </w:pPr>
          </w:p>
        </w:tc>
        <w:tc>
          <w:tcPr>
            <w:tcW w:w="1260" w:type="dxa"/>
            <w:vMerge w:val="continue"/>
            <w:tcBorders>
              <w:top w:val="nil"/>
              <w:bottom w:val="nil"/>
            </w:tcBorders>
            <w:vAlign w:val="top"/>
          </w:tcPr>
          <w:p w14:paraId="1ACB2145">
            <w:pPr>
              <w:rPr>
                <w:rFonts w:ascii="Arial"/>
                <w:sz w:val="21"/>
              </w:rPr>
            </w:pPr>
          </w:p>
        </w:tc>
        <w:tc>
          <w:tcPr>
            <w:tcW w:w="7531" w:type="dxa"/>
            <w:vMerge w:val="continue"/>
            <w:tcBorders>
              <w:top w:val="nil"/>
              <w:bottom w:val="nil"/>
            </w:tcBorders>
            <w:vAlign w:val="top"/>
          </w:tcPr>
          <w:p w14:paraId="4C4FF213">
            <w:pPr>
              <w:rPr>
                <w:rFonts w:ascii="Arial"/>
                <w:sz w:val="21"/>
              </w:rPr>
            </w:pPr>
          </w:p>
        </w:tc>
        <w:tc>
          <w:tcPr>
            <w:tcW w:w="3719" w:type="dxa"/>
            <w:vAlign w:val="top"/>
          </w:tcPr>
          <w:p w14:paraId="19E29304">
            <w:pPr>
              <w:pStyle w:val="6"/>
              <w:spacing w:before="63" w:line="293" w:lineRule="auto"/>
              <w:ind w:left="114" w:right="57" w:firstLine="14"/>
              <w:jc w:val="both"/>
            </w:pPr>
            <w:r>
              <w:rPr>
                <w:spacing w:val="8"/>
              </w:rPr>
              <w:t>3、制作笔录，告知当事人采取强制措施</w:t>
            </w:r>
            <w:r>
              <w:rPr>
                <w:spacing w:val="6"/>
              </w:rPr>
              <w:t>的理由、依据及当事人依法享有的权利，</w:t>
            </w:r>
            <w:r>
              <w:rPr>
                <w:spacing w:val="4"/>
              </w:rPr>
              <w:t>并当场交付查封、扣押决定书和清单、实</w:t>
            </w:r>
            <w:r>
              <w:rPr>
                <w:spacing w:val="7"/>
              </w:rPr>
              <w:t>施查封、扣押。</w:t>
            </w:r>
          </w:p>
        </w:tc>
        <w:tc>
          <w:tcPr>
            <w:tcW w:w="2018" w:type="dxa"/>
            <w:vMerge w:val="continue"/>
            <w:tcBorders>
              <w:top w:val="nil"/>
              <w:bottom w:val="nil"/>
            </w:tcBorders>
            <w:vAlign w:val="top"/>
          </w:tcPr>
          <w:p w14:paraId="56E56585">
            <w:pPr>
              <w:rPr>
                <w:rFonts w:ascii="Arial"/>
                <w:sz w:val="21"/>
              </w:rPr>
            </w:pPr>
          </w:p>
        </w:tc>
      </w:tr>
      <w:tr w14:paraId="3B2380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8" w:hRule="atLeast"/>
        </w:trPr>
        <w:tc>
          <w:tcPr>
            <w:tcW w:w="724" w:type="dxa"/>
            <w:vMerge w:val="continue"/>
            <w:tcBorders>
              <w:top w:val="nil"/>
              <w:bottom w:val="nil"/>
            </w:tcBorders>
            <w:textDirection w:val="tbRlV"/>
            <w:vAlign w:val="top"/>
          </w:tcPr>
          <w:p w14:paraId="2BDCB6AA">
            <w:pPr>
              <w:rPr>
                <w:rFonts w:ascii="Arial"/>
                <w:sz w:val="21"/>
              </w:rPr>
            </w:pPr>
          </w:p>
        </w:tc>
        <w:tc>
          <w:tcPr>
            <w:tcW w:w="1260" w:type="dxa"/>
            <w:vMerge w:val="continue"/>
            <w:tcBorders>
              <w:top w:val="nil"/>
              <w:bottom w:val="nil"/>
            </w:tcBorders>
            <w:vAlign w:val="top"/>
          </w:tcPr>
          <w:p w14:paraId="4B4BB28C">
            <w:pPr>
              <w:rPr>
                <w:rFonts w:ascii="Arial"/>
                <w:sz w:val="21"/>
              </w:rPr>
            </w:pPr>
          </w:p>
        </w:tc>
        <w:tc>
          <w:tcPr>
            <w:tcW w:w="7531" w:type="dxa"/>
            <w:vMerge w:val="continue"/>
            <w:tcBorders>
              <w:top w:val="nil"/>
              <w:bottom w:val="nil"/>
            </w:tcBorders>
            <w:vAlign w:val="top"/>
          </w:tcPr>
          <w:p w14:paraId="61987713">
            <w:pPr>
              <w:rPr>
                <w:rFonts w:ascii="Arial"/>
                <w:sz w:val="21"/>
              </w:rPr>
            </w:pPr>
          </w:p>
        </w:tc>
        <w:tc>
          <w:tcPr>
            <w:tcW w:w="3719" w:type="dxa"/>
            <w:vAlign w:val="top"/>
          </w:tcPr>
          <w:p w14:paraId="19665F6B">
            <w:pPr>
              <w:pStyle w:val="6"/>
              <w:spacing w:before="234" w:line="310" w:lineRule="auto"/>
              <w:ind w:left="118" w:right="50" w:firstLine="2"/>
              <w:jc w:val="both"/>
            </w:pPr>
            <w:r>
              <w:rPr>
                <w:spacing w:val="8"/>
              </w:rPr>
              <w:t>4、行政机关采取查封、扣押措施后，应</w:t>
            </w:r>
            <w:r>
              <w:rPr>
                <w:spacing w:val="3"/>
              </w:rPr>
              <w:t>当及时查清事实，在《中华人民共和国行政强制法》第二十五条规定的期限内作出处理决定。对违法事实清楚，依法应当没</w:t>
            </w:r>
            <w:r>
              <w:rPr>
                <w:spacing w:val="4"/>
              </w:rPr>
              <w:t>收的非法财物予以没收；法律、行政法规</w:t>
            </w:r>
            <w:r>
              <w:rPr>
                <w:spacing w:val="3"/>
              </w:rPr>
              <w:t>规定应当销毁的，依法销毁；应当解除查</w:t>
            </w:r>
            <w:r>
              <w:rPr>
                <w:spacing w:val="-4"/>
              </w:rPr>
              <w:t>封、扣押的，作出解除查封、扣押的决定。</w:t>
            </w:r>
          </w:p>
        </w:tc>
        <w:tc>
          <w:tcPr>
            <w:tcW w:w="2018" w:type="dxa"/>
            <w:vMerge w:val="continue"/>
            <w:tcBorders>
              <w:top w:val="nil"/>
              <w:bottom w:val="nil"/>
            </w:tcBorders>
            <w:vAlign w:val="top"/>
          </w:tcPr>
          <w:p w14:paraId="65FDC5A0">
            <w:pPr>
              <w:rPr>
                <w:rFonts w:ascii="Arial"/>
                <w:sz w:val="21"/>
              </w:rPr>
            </w:pPr>
          </w:p>
        </w:tc>
      </w:tr>
      <w:tr w14:paraId="6AC95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724" w:type="dxa"/>
            <w:vMerge w:val="continue"/>
            <w:tcBorders>
              <w:top w:val="nil"/>
            </w:tcBorders>
            <w:textDirection w:val="tbRlV"/>
            <w:vAlign w:val="top"/>
          </w:tcPr>
          <w:p w14:paraId="0B31A3FD">
            <w:pPr>
              <w:rPr>
                <w:rFonts w:ascii="Arial"/>
                <w:sz w:val="21"/>
              </w:rPr>
            </w:pPr>
          </w:p>
        </w:tc>
        <w:tc>
          <w:tcPr>
            <w:tcW w:w="1260" w:type="dxa"/>
            <w:vMerge w:val="continue"/>
            <w:tcBorders>
              <w:top w:val="nil"/>
            </w:tcBorders>
            <w:vAlign w:val="top"/>
          </w:tcPr>
          <w:p w14:paraId="0AAECF26">
            <w:pPr>
              <w:rPr>
                <w:rFonts w:ascii="Arial"/>
                <w:sz w:val="21"/>
              </w:rPr>
            </w:pPr>
          </w:p>
        </w:tc>
        <w:tc>
          <w:tcPr>
            <w:tcW w:w="7531" w:type="dxa"/>
            <w:vMerge w:val="continue"/>
            <w:tcBorders>
              <w:top w:val="nil"/>
            </w:tcBorders>
            <w:vAlign w:val="top"/>
          </w:tcPr>
          <w:p w14:paraId="5BD1DD35">
            <w:pPr>
              <w:rPr>
                <w:rFonts w:ascii="Arial"/>
                <w:sz w:val="21"/>
              </w:rPr>
            </w:pPr>
          </w:p>
        </w:tc>
        <w:tc>
          <w:tcPr>
            <w:tcW w:w="3719" w:type="dxa"/>
            <w:vAlign w:val="top"/>
          </w:tcPr>
          <w:p w14:paraId="2E01E928">
            <w:pPr>
              <w:pStyle w:val="6"/>
              <w:spacing w:before="166" w:line="224" w:lineRule="auto"/>
              <w:ind w:right="14"/>
              <w:jc w:val="right"/>
            </w:pPr>
            <w:r>
              <w:rPr>
                <w:spacing w:val="3"/>
              </w:rPr>
              <w:t>5、其他法律法规规章规定应履行的责任。</w:t>
            </w:r>
          </w:p>
        </w:tc>
        <w:tc>
          <w:tcPr>
            <w:tcW w:w="2018" w:type="dxa"/>
            <w:vMerge w:val="continue"/>
            <w:tcBorders>
              <w:top w:val="nil"/>
            </w:tcBorders>
            <w:vAlign w:val="top"/>
          </w:tcPr>
          <w:p w14:paraId="2FB9D1F4">
            <w:pPr>
              <w:rPr>
                <w:rFonts w:ascii="Arial"/>
                <w:sz w:val="21"/>
              </w:rPr>
            </w:pPr>
          </w:p>
        </w:tc>
      </w:tr>
      <w:tr w14:paraId="752DB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314C2C77">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515211A">
      <w:pPr>
        <w:rPr>
          <w:rFonts w:ascii="Arial"/>
          <w:sz w:val="21"/>
        </w:rPr>
      </w:pPr>
    </w:p>
    <w:p w14:paraId="180A4382">
      <w:pPr>
        <w:rPr>
          <w:rFonts w:ascii="Arial" w:hAnsi="Arial" w:eastAsia="Arial" w:cs="Arial"/>
          <w:sz w:val="21"/>
          <w:szCs w:val="21"/>
        </w:rPr>
        <w:sectPr>
          <w:footerReference r:id="rId8" w:type="default"/>
          <w:pgSz w:w="16839" w:h="11906"/>
          <w:pgMar w:top="1012" w:right="685" w:bottom="1213" w:left="895" w:header="0" w:footer="937" w:gutter="0"/>
          <w:cols w:space="720" w:num="1"/>
        </w:sectPr>
      </w:pPr>
    </w:p>
    <w:p w14:paraId="55C86E87">
      <w:pPr>
        <w:spacing w:before="45"/>
      </w:pPr>
    </w:p>
    <w:p w14:paraId="01B5994F">
      <w:pPr>
        <w:spacing w:before="44"/>
      </w:pPr>
    </w:p>
    <w:p w14:paraId="66E675F7">
      <w:pPr>
        <w:spacing w:before="44"/>
      </w:pPr>
    </w:p>
    <w:p w14:paraId="3A30EE6A">
      <w:pPr>
        <w:spacing w:before="44"/>
      </w:pPr>
    </w:p>
    <w:p w14:paraId="5E46BAA9">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772"/>
        <w:gridCol w:w="4727"/>
        <w:gridCol w:w="3769"/>
      </w:tblGrid>
      <w:tr w14:paraId="015A9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F1149A2">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11AF080">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CEF0306">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772" w:type="dxa"/>
            <w:vAlign w:val="top"/>
          </w:tcPr>
          <w:p w14:paraId="121BF89F">
            <w:pPr>
              <w:spacing w:before="187" w:line="228" w:lineRule="auto"/>
              <w:ind w:left="1974"/>
              <w:rPr>
                <w:rFonts w:ascii="宋体" w:hAnsi="宋体" w:eastAsia="宋体" w:cs="宋体"/>
                <w:sz w:val="20"/>
                <w:szCs w:val="20"/>
              </w:rPr>
            </w:pPr>
            <w:r>
              <w:rPr>
                <w:rFonts w:ascii="宋体" w:hAnsi="宋体" w:eastAsia="宋体" w:cs="宋体"/>
                <w:b/>
                <w:bCs/>
                <w:spacing w:val="5"/>
                <w:sz w:val="20"/>
                <w:szCs w:val="20"/>
              </w:rPr>
              <w:t>实施依据</w:t>
            </w:r>
          </w:p>
        </w:tc>
        <w:tc>
          <w:tcPr>
            <w:tcW w:w="4727" w:type="dxa"/>
            <w:vAlign w:val="top"/>
          </w:tcPr>
          <w:p w14:paraId="41F17FDB">
            <w:pPr>
              <w:spacing w:before="188" w:line="228" w:lineRule="auto"/>
              <w:ind w:left="1376"/>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78C3C56D">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28E331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724" w:type="dxa"/>
            <w:vMerge w:val="restart"/>
            <w:tcBorders>
              <w:bottom w:val="nil"/>
            </w:tcBorders>
            <w:textDirection w:val="tbRlV"/>
            <w:vAlign w:val="top"/>
          </w:tcPr>
          <w:p w14:paraId="76575CC8">
            <w:pPr>
              <w:pStyle w:val="6"/>
              <w:spacing w:before="255" w:line="213" w:lineRule="auto"/>
              <w:ind w:left="2051"/>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55A1AD6C">
            <w:pPr>
              <w:spacing w:line="250" w:lineRule="auto"/>
              <w:rPr>
                <w:rFonts w:ascii="Arial"/>
                <w:sz w:val="21"/>
              </w:rPr>
            </w:pPr>
          </w:p>
          <w:p w14:paraId="6BFC14C0">
            <w:pPr>
              <w:spacing w:line="251" w:lineRule="auto"/>
              <w:rPr>
                <w:rFonts w:ascii="Arial"/>
                <w:sz w:val="21"/>
              </w:rPr>
            </w:pPr>
          </w:p>
          <w:p w14:paraId="33E22680">
            <w:pPr>
              <w:spacing w:line="251" w:lineRule="auto"/>
              <w:rPr>
                <w:rFonts w:ascii="Arial"/>
                <w:sz w:val="21"/>
              </w:rPr>
            </w:pPr>
          </w:p>
          <w:p w14:paraId="4FEAC701">
            <w:pPr>
              <w:spacing w:line="251" w:lineRule="auto"/>
              <w:rPr>
                <w:rFonts w:ascii="Arial"/>
                <w:sz w:val="21"/>
              </w:rPr>
            </w:pPr>
          </w:p>
          <w:p w14:paraId="54B45ECF">
            <w:pPr>
              <w:spacing w:line="251" w:lineRule="auto"/>
              <w:rPr>
                <w:rFonts w:ascii="Arial"/>
                <w:sz w:val="21"/>
              </w:rPr>
            </w:pPr>
          </w:p>
          <w:p w14:paraId="4779725F">
            <w:pPr>
              <w:spacing w:line="251" w:lineRule="auto"/>
              <w:rPr>
                <w:rFonts w:ascii="Arial"/>
                <w:sz w:val="21"/>
              </w:rPr>
            </w:pPr>
          </w:p>
          <w:p w14:paraId="464ADCB9">
            <w:pPr>
              <w:spacing w:line="251" w:lineRule="auto"/>
              <w:rPr>
                <w:rFonts w:ascii="Arial"/>
                <w:sz w:val="21"/>
              </w:rPr>
            </w:pPr>
          </w:p>
          <w:p w14:paraId="45FFC4EF">
            <w:pPr>
              <w:pStyle w:val="6"/>
              <w:spacing w:before="62" w:line="310" w:lineRule="auto"/>
              <w:ind w:left="111" w:right="153" w:firstLine="10"/>
              <w:jc w:val="both"/>
            </w:pPr>
            <w:r>
              <w:rPr>
                <w:spacing w:val="5"/>
              </w:rPr>
              <w:t>5.查封、扣</w:t>
            </w:r>
            <w:r>
              <w:rPr>
                <w:spacing w:val="8"/>
              </w:rPr>
              <w:t>押存在严重质量问题的产品及相关</w:t>
            </w:r>
            <w:r>
              <w:rPr>
                <w:spacing w:val="5"/>
              </w:rPr>
              <w:t>物品</w:t>
            </w:r>
          </w:p>
        </w:tc>
        <w:tc>
          <w:tcPr>
            <w:tcW w:w="4772" w:type="dxa"/>
            <w:vMerge w:val="restart"/>
            <w:tcBorders>
              <w:bottom w:val="nil"/>
            </w:tcBorders>
            <w:vAlign w:val="top"/>
          </w:tcPr>
          <w:p w14:paraId="7E3274AB">
            <w:pPr>
              <w:pStyle w:val="6"/>
              <w:spacing w:before="236" w:line="310" w:lineRule="auto"/>
              <w:ind w:left="112" w:right="105" w:hanging="4"/>
            </w:pPr>
            <w:r>
              <w:rPr>
                <w:spacing w:val="7"/>
              </w:rPr>
              <w:t>《中华人民共和国产品质量法》第十八条  县级以上</w:t>
            </w:r>
            <w:r>
              <w:rPr>
                <w:spacing w:val="9"/>
              </w:rPr>
              <w:t>市场监督管理部门根据已经取得的违法嫌疑证据或</w:t>
            </w:r>
            <w:r>
              <w:rPr>
                <w:spacing w:val="7"/>
              </w:rPr>
              <w:t>者举报，对涉嫌违反本法规定的行为进行查处时，可以行使下列职权：</w:t>
            </w:r>
          </w:p>
          <w:p w14:paraId="4346AC79">
            <w:pPr>
              <w:pStyle w:val="6"/>
              <w:spacing w:before="1" w:line="266" w:lineRule="auto"/>
              <w:ind w:left="110" w:right="108" w:firstLine="42"/>
            </w:pPr>
            <w:r>
              <w:rPr>
                <w:spacing w:val="5"/>
              </w:rPr>
              <w:t>(一)对当事人涉嫌从事违反本法的生产、销售活动的</w:t>
            </w:r>
            <w:r>
              <w:rPr>
                <w:spacing w:val="7"/>
              </w:rPr>
              <w:t>场所实施现场检查；</w:t>
            </w:r>
          </w:p>
          <w:p w14:paraId="43064E6F">
            <w:pPr>
              <w:pStyle w:val="6"/>
              <w:spacing w:before="89" w:line="281" w:lineRule="auto"/>
              <w:ind w:left="113" w:right="105" w:firstLine="40"/>
            </w:pPr>
            <w:r>
              <w:rPr>
                <w:spacing w:val="5"/>
              </w:rPr>
              <w:t>(二)向当事人的法定代表人、主要负责人和其他有关</w:t>
            </w:r>
            <w:r>
              <w:rPr>
                <w:spacing w:val="7"/>
              </w:rPr>
              <w:t>人员调查、了解与涉嫌从事违反本法的生产、销售活动有关的情况；</w:t>
            </w:r>
          </w:p>
          <w:p w14:paraId="06533CDC">
            <w:pPr>
              <w:pStyle w:val="6"/>
              <w:spacing w:before="86" w:line="267" w:lineRule="auto"/>
              <w:ind w:left="111" w:right="105" w:firstLine="41"/>
            </w:pPr>
            <w:r>
              <w:rPr>
                <w:spacing w:val="5"/>
              </w:rPr>
              <w:t>(三)查阅、复制当事人有关的合同、发票、帐簿以及</w:t>
            </w:r>
            <w:r>
              <w:rPr>
                <w:spacing w:val="7"/>
              </w:rPr>
              <w:t>其他有关资料；</w:t>
            </w:r>
          </w:p>
          <w:p w14:paraId="607A5534">
            <w:pPr>
              <w:pStyle w:val="6"/>
              <w:spacing w:before="87" w:line="289" w:lineRule="auto"/>
              <w:ind w:left="116" w:right="105" w:firstLine="37"/>
            </w:pPr>
            <w:r>
              <w:rPr>
                <w:spacing w:val="5"/>
              </w:rPr>
              <w:t>(四)对有根据认为不符合保障人体健康和人身、财产</w:t>
            </w:r>
            <w:r>
              <w:rPr>
                <w:spacing w:val="7"/>
              </w:rPr>
              <w:t>安全的国家标准、行业标准的产品或者有其他严重质量问题的产品，以及直接用于生产、销售该项产品的原辅材料、包装物、生产工具，予以查封或者扣押。</w:t>
            </w:r>
          </w:p>
        </w:tc>
        <w:tc>
          <w:tcPr>
            <w:tcW w:w="4727" w:type="dxa"/>
            <w:vAlign w:val="top"/>
          </w:tcPr>
          <w:p w14:paraId="56A7EA49">
            <w:pPr>
              <w:pStyle w:val="6"/>
              <w:spacing w:before="243" w:line="224" w:lineRule="auto"/>
              <w:ind w:left="125"/>
            </w:pPr>
            <w:r>
              <w:rPr>
                <w:spacing w:val="8"/>
              </w:rPr>
              <w:t>1、核实违法事实，报行政机关负责人批准。</w:t>
            </w:r>
          </w:p>
        </w:tc>
        <w:tc>
          <w:tcPr>
            <w:tcW w:w="3769" w:type="dxa"/>
            <w:vMerge w:val="restart"/>
            <w:tcBorders>
              <w:bottom w:val="nil"/>
            </w:tcBorders>
            <w:vAlign w:val="top"/>
          </w:tcPr>
          <w:p w14:paraId="4721403D">
            <w:pPr>
              <w:spacing w:line="264" w:lineRule="auto"/>
              <w:rPr>
                <w:rFonts w:ascii="Arial"/>
                <w:sz w:val="21"/>
              </w:rPr>
            </w:pPr>
          </w:p>
          <w:p w14:paraId="789B5617">
            <w:pPr>
              <w:spacing w:line="264" w:lineRule="auto"/>
              <w:rPr>
                <w:rFonts w:ascii="Arial"/>
                <w:sz w:val="21"/>
              </w:rPr>
            </w:pPr>
          </w:p>
          <w:p w14:paraId="0B4EA24A">
            <w:pPr>
              <w:spacing w:line="264" w:lineRule="auto"/>
              <w:rPr>
                <w:rFonts w:ascii="Arial"/>
                <w:sz w:val="21"/>
              </w:rPr>
            </w:pPr>
          </w:p>
          <w:p w14:paraId="1B7C5F57">
            <w:pPr>
              <w:spacing w:line="264" w:lineRule="auto"/>
              <w:rPr>
                <w:rFonts w:ascii="Arial"/>
                <w:sz w:val="21"/>
              </w:rPr>
            </w:pPr>
          </w:p>
          <w:p w14:paraId="4746C9FC">
            <w:pPr>
              <w:spacing w:line="264" w:lineRule="auto"/>
              <w:rPr>
                <w:rFonts w:ascii="Arial"/>
                <w:sz w:val="21"/>
              </w:rPr>
            </w:pPr>
          </w:p>
          <w:p w14:paraId="4339F393">
            <w:pPr>
              <w:spacing w:line="264" w:lineRule="auto"/>
              <w:rPr>
                <w:rFonts w:ascii="Arial"/>
                <w:sz w:val="21"/>
              </w:rPr>
            </w:pPr>
          </w:p>
          <w:p w14:paraId="3286645C">
            <w:pPr>
              <w:spacing w:line="264" w:lineRule="auto"/>
              <w:rPr>
                <w:rFonts w:ascii="Arial"/>
                <w:sz w:val="21"/>
              </w:rPr>
            </w:pPr>
          </w:p>
          <w:p w14:paraId="04075669">
            <w:pPr>
              <w:spacing w:line="264" w:lineRule="auto"/>
              <w:rPr>
                <w:rFonts w:ascii="Arial"/>
                <w:sz w:val="21"/>
              </w:rPr>
            </w:pPr>
          </w:p>
          <w:p w14:paraId="68643657">
            <w:pPr>
              <w:pStyle w:val="6"/>
              <w:spacing w:before="65" w:line="259" w:lineRule="auto"/>
              <w:ind w:left="114"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7730D1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724" w:type="dxa"/>
            <w:vMerge w:val="continue"/>
            <w:tcBorders>
              <w:top w:val="nil"/>
              <w:bottom w:val="nil"/>
            </w:tcBorders>
            <w:textDirection w:val="tbRlV"/>
            <w:vAlign w:val="top"/>
          </w:tcPr>
          <w:p w14:paraId="40D101A7">
            <w:pPr>
              <w:rPr>
                <w:rFonts w:ascii="Arial"/>
                <w:sz w:val="21"/>
              </w:rPr>
            </w:pPr>
          </w:p>
        </w:tc>
        <w:tc>
          <w:tcPr>
            <w:tcW w:w="1260" w:type="dxa"/>
            <w:vMerge w:val="continue"/>
            <w:tcBorders>
              <w:top w:val="nil"/>
              <w:bottom w:val="nil"/>
            </w:tcBorders>
            <w:vAlign w:val="top"/>
          </w:tcPr>
          <w:p w14:paraId="33CE6269">
            <w:pPr>
              <w:rPr>
                <w:rFonts w:ascii="Arial"/>
                <w:sz w:val="21"/>
              </w:rPr>
            </w:pPr>
          </w:p>
        </w:tc>
        <w:tc>
          <w:tcPr>
            <w:tcW w:w="4772" w:type="dxa"/>
            <w:vMerge w:val="continue"/>
            <w:tcBorders>
              <w:top w:val="nil"/>
              <w:bottom w:val="nil"/>
            </w:tcBorders>
            <w:vAlign w:val="top"/>
          </w:tcPr>
          <w:p w14:paraId="5A19CA07">
            <w:pPr>
              <w:rPr>
                <w:rFonts w:ascii="Arial"/>
                <w:sz w:val="21"/>
              </w:rPr>
            </w:pPr>
          </w:p>
        </w:tc>
        <w:tc>
          <w:tcPr>
            <w:tcW w:w="4727" w:type="dxa"/>
            <w:vAlign w:val="top"/>
          </w:tcPr>
          <w:p w14:paraId="3BDE3DA1">
            <w:pPr>
              <w:spacing w:line="252" w:lineRule="auto"/>
              <w:rPr>
                <w:rFonts w:ascii="Arial"/>
                <w:sz w:val="21"/>
              </w:rPr>
            </w:pPr>
          </w:p>
          <w:p w14:paraId="057D658E">
            <w:pPr>
              <w:pStyle w:val="6"/>
              <w:spacing w:before="62" w:line="224" w:lineRule="auto"/>
              <w:ind w:left="120"/>
            </w:pPr>
            <w:r>
              <w:rPr>
                <w:spacing w:val="7"/>
              </w:rPr>
              <w:t>2、依法作出处理决定。</w:t>
            </w:r>
          </w:p>
        </w:tc>
        <w:tc>
          <w:tcPr>
            <w:tcW w:w="3769" w:type="dxa"/>
            <w:vMerge w:val="continue"/>
            <w:tcBorders>
              <w:top w:val="nil"/>
              <w:bottom w:val="nil"/>
            </w:tcBorders>
            <w:vAlign w:val="top"/>
          </w:tcPr>
          <w:p w14:paraId="5DB8DA19">
            <w:pPr>
              <w:rPr>
                <w:rFonts w:ascii="Arial"/>
                <w:sz w:val="21"/>
              </w:rPr>
            </w:pPr>
          </w:p>
        </w:tc>
      </w:tr>
      <w:tr w14:paraId="18762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73D104F3">
            <w:pPr>
              <w:rPr>
                <w:rFonts w:ascii="Arial"/>
                <w:sz w:val="21"/>
              </w:rPr>
            </w:pPr>
          </w:p>
        </w:tc>
        <w:tc>
          <w:tcPr>
            <w:tcW w:w="1260" w:type="dxa"/>
            <w:vMerge w:val="continue"/>
            <w:tcBorders>
              <w:top w:val="nil"/>
              <w:bottom w:val="nil"/>
            </w:tcBorders>
            <w:vAlign w:val="top"/>
          </w:tcPr>
          <w:p w14:paraId="49EA5D0F">
            <w:pPr>
              <w:rPr>
                <w:rFonts w:ascii="Arial"/>
                <w:sz w:val="21"/>
              </w:rPr>
            </w:pPr>
          </w:p>
        </w:tc>
        <w:tc>
          <w:tcPr>
            <w:tcW w:w="4772" w:type="dxa"/>
            <w:vMerge w:val="continue"/>
            <w:tcBorders>
              <w:top w:val="nil"/>
              <w:bottom w:val="nil"/>
            </w:tcBorders>
            <w:vAlign w:val="top"/>
          </w:tcPr>
          <w:p w14:paraId="4CAACF90">
            <w:pPr>
              <w:rPr>
                <w:rFonts w:ascii="Arial"/>
                <w:sz w:val="21"/>
              </w:rPr>
            </w:pPr>
          </w:p>
        </w:tc>
        <w:tc>
          <w:tcPr>
            <w:tcW w:w="4727" w:type="dxa"/>
            <w:vAlign w:val="top"/>
          </w:tcPr>
          <w:p w14:paraId="1593D389">
            <w:pPr>
              <w:pStyle w:val="6"/>
              <w:spacing w:before="216" w:line="310" w:lineRule="auto"/>
              <w:ind w:left="115" w:right="104" w:firstLine="13"/>
              <w:jc w:val="both"/>
            </w:pPr>
            <w:r>
              <w:rPr>
                <w:spacing w:val="8"/>
              </w:rPr>
              <w:t>3、制作笔录，告知当事人采取强制措施的理由、依</w:t>
            </w:r>
            <w:r>
              <w:rPr>
                <w:spacing w:val="5"/>
              </w:rPr>
              <w:t>据及当事人依法享有的权利，并当场交付查封、扣押</w:t>
            </w:r>
            <w:r>
              <w:rPr>
                <w:spacing w:val="8"/>
              </w:rPr>
              <w:t>决定书和清单、实施查封、扣押。</w:t>
            </w:r>
          </w:p>
        </w:tc>
        <w:tc>
          <w:tcPr>
            <w:tcW w:w="3769" w:type="dxa"/>
            <w:vMerge w:val="continue"/>
            <w:tcBorders>
              <w:top w:val="nil"/>
              <w:bottom w:val="nil"/>
            </w:tcBorders>
            <w:vAlign w:val="top"/>
          </w:tcPr>
          <w:p w14:paraId="5F29A014">
            <w:pPr>
              <w:rPr>
                <w:rFonts w:ascii="Arial"/>
                <w:sz w:val="21"/>
              </w:rPr>
            </w:pPr>
          </w:p>
        </w:tc>
      </w:tr>
      <w:tr w14:paraId="32833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6" w:hRule="atLeast"/>
        </w:trPr>
        <w:tc>
          <w:tcPr>
            <w:tcW w:w="724" w:type="dxa"/>
            <w:vMerge w:val="continue"/>
            <w:tcBorders>
              <w:top w:val="nil"/>
              <w:bottom w:val="nil"/>
            </w:tcBorders>
            <w:textDirection w:val="tbRlV"/>
            <w:vAlign w:val="top"/>
          </w:tcPr>
          <w:p w14:paraId="16EB107E">
            <w:pPr>
              <w:rPr>
                <w:rFonts w:ascii="Arial"/>
                <w:sz w:val="21"/>
              </w:rPr>
            </w:pPr>
          </w:p>
        </w:tc>
        <w:tc>
          <w:tcPr>
            <w:tcW w:w="1260" w:type="dxa"/>
            <w:vMerge w:val="continue"/>
            <w:tcBorders>
              <w:top w:val="nil"/>
              <w:bottom w:val="nil"/>
            </w:tcBorders>
            <w:vAlign w:val="top"/>
          </w:tcPr>
          <w:p w14:paraId="27552954">
            <w:pPr>
              <w:rPr>
                <w:rFonts w:ascii="Arial"/>
                <w:sz w:val="21"/>
              </w:rPr>
            </w:pPr>
          </w:p>
        </w:tc>
        <w:tc>
          <w:tcPr>
            <w:tcW w:w="4772" w:type="dxa"/>
            <w:vMerge w:val="continue"/>
            <w:tcBorders>
              <w:top w:val="nil"/>
              <w:bottom w:val="nil"/>
            </w:tcBorders>
            <w:vAlign w:val="top"/>
          </w:tcPr>
          <w:p w14:paraId="00B6D4AE">
            <w:pPr>
              <w:rPr>
                <w:rFonts w:ascii="Arial"/>
                <w:sz w:val="21"/>
              </w:rPr>
            </w:pPr>
          </w:p>
        </w:tc>
        <w:tc>
          <w:tcPr>
            <w:tcW w:w="4727" w:type="dxa"/>
            <w:vAlign w:val="top"/>
          </w:tcPr>
          <w:p w14:paraId="65C9DE56">
            <w:pPr>
              <w:pStyle w:val="6"/>
              <w:spacing w:before="64" w:line="310" w:lineRule="auto"/>
              <w:ind w:left="117" w:right="102" w:firstLine="2"/>
              <w:jc w:val="both"/>
            </w:pPr>
            <w:r>
              <w:rPr>
                <w:spacing w:val="9"/>
              </w:rPr>
              <w:t>4、行政机关采取查封、扣押措施后，应当及时查清</w:t>
            </w:r>
            <w:r>
              <w:rPr>
                <w:spacing w:val="5"/>
              </w:rPr>
              <w:t>事实，在《中华人民共和国行政强制法》第二十五条规定的期限内作出处理决定。对违法事实清楚，依法应当没收的非法财物予以没收；法律、行政法规规定应当销毁的，依法销毁；应当解除查封、扣押的，作</w:t>
            </w:r>
            <w:r>
              <w:rPr>
                <w:spacing w:val="7"/>
              </w:rPr>
              <w:t>出解除查封、扣押的决定。</w:t>
            </w:r>
          </w:p>
        </w:tc>
        <w:tc>
          <w:tcPr>
            <w:tcW w:w="3769" w:type="dxa"/>
            <w:vMerge w:val="continue"/>
            <w:tcBorders>
              <w:top w:val="nil"/>
              <w:bottom w:val="nil"/>
            </w:tcBorders>
            <w:vAlign w:val="top"/>
          </w:tcPr>
          <w:p w14:paraId="03F5834D">
            <w:pPr>
              <w:rPr>
                <w:rFonts w:ascii="Arial"/>
                <w:sz w:val="21"/>
              </w:rPr>
            </w:pPr>
          </w:p>
        </w:tc>
      </w:tr>
      <w:tr w14:paraId="5E825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4446ACC3">
            <w:pPr>
              <w:rPr>
                <w:rFonts w:ascii="Arial"/>
                <w:sz w:val="21"/>
              </w:rPr>
            </w:pPr>
          </w:p>
        </w:tc>
        <w:tc>
          <w:tcPr>
            <w:tcW w:w="1260" w:type="dxa"/>
            <w:vMerge w:val="continue"/>
            <w:tcBorders>
              <w:top w:val="nil"/>
            </w:tcBorders>
            <w:vAlign w:val="top"/>
          </w:tcPr>
          <w:p w14:paraId="6167429D">
            <w:pPr>
              <w:rPr>
                <w:rFonts w:ascii="Arial"/>
                <w:sz w:val="21"/>
              </w:rPr>
            </w:pPr>
          </w:p>
        </w:tc>
        <w:tc>
          <w:tcPr>
            <w:tcW w:w="4772" w:type="dxa"/>
            <w:vMerge w:val="continue"/>
            <w:tcBorders>
              <w:top w:val="nil"/>
            </w:tcBorders>
            <w:vAlign w:val="top"/>
          </w:tcPr>
          <w:p w14:paraId="657FE166">
            <w:pPr>
              <w:rPr>
                <w:rFonts w:ascii="Arial"/>
                <w:sz w:val="21"/>
              </w:rPr>
            </w:pPr>
          </w:p>
        </w:tc>
        <w:tc>
          <w:tcPr>
            <w:tcW w:w="4727" w:type="dxa"/>
            <w:vAlign w:val="top"/>
          </w:tcPr>
          <w:p w14:paraId="0B88F597">
            <w:pPr>
              <w:pStyle w:val="6"/>
              <w:spacing w:before="90" w:line="224" w:lineRule="auto"/>
              <w:ind w:left="123"/>
            </w:pPr>
            <w:r>
              <w:rPr>
                <w:spacing w:val="8"/>
              </w:rPr>
              <w:t>5、其他法律法规规章规定应履行的责任。</w:t>
            </w:r>
          </w:p>
        </w:tc>
        <w:tc>
          <w:tcPr>
            <w:tcW w:w="3769" w:type="dxa"/>
            <w:vMerge w:val="continue"/>
            <w:tcBorders>
              <w:top w:val="nil"/>
            </w:tcBorders>
            <w:vAlign w:val="top"/>
          </w:tcPr>
          <w:p w14:paraId="03A9CEEE">
            <w:pPr>
              <w:rPr>
                <w:rFonts w:ascii="Arial"/>
                <w:sz w:val="21"/>
              </w:rPr>
            </w:pPr>
          </w:p>
        </w:tc>
      </w:tr>
      <w:tr w14:paraId="3ECB4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79FDD02">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C5AF485">
      <w:pPr>
        <w:rPr>
          <w:rFonts w:ascii="Arial"/>
          <w:sz w:val="21"/>
        </w:rPr>
      </w:pPr>
    </w:p>
    <w:p w14:paraId="7623A514">
      <w:pPr>
        <w:rPr>
          <w:rFonts w:ascii="Arial" w:hAnsi="Arial" w:eastAsia="Arial" w:cs="Arial"/>
          <w:sz w:val="21"/>
          <w:szCs w:val="21"/>
        </w:rPr>
        <w:sectPr>
          <w:footerReference r:id="rId9" w:type="default"/>
          <w:pgSz w:w="16839" w:h="11906"/>
          <w:pgMar w:top="1012" w:right="685" w:bottom="1213" w:left="895" w:header="0" w:footer="938" w:gutter="0"/>
          <w:cols w:space="720" w:num="1"/>
        </w:sectPr>
      </w:pPr>
    </w:p>
    <w:p w14:paraId="37F4A778">
      <w:pPr>
        <w:spacing w:before="45"/>
      </w:pPr>
    </w:p>
    <w:p w14:paraId="5B24BB10">
      <w:pPr>
        <w:spacing w:before="44"/>
      </w:pPr>
    </w:p>
    <w:p w14:paraId="355AFC75">
      <w:pPr>
        <w:spacing w:before="44"/>
      </w:pPr>
    </w:p>
    <w:p w14:paraId="62A15458">
      <w:pPr>
        <w:spacing w:before="44"/>
      </w:pPr>
    </w:p>
    <w:p w14:paraId="6E990E03">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547"/>
        <w:gridCol w:w="4952"/>
        <w:gridCol w:w="3769"/>
      </w:tblGrid>
      <w:tr w14:paraId="6FA97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787A9D2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563F19A">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1A5CD5A">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547" w:type="dxa"/>
            <w:vAlign w:val="top"/>
          </w:tcPr>
          <w:p w14:paraId="164721DD">
            <w:pPr>
              <w:spacing w:before="187" w:line="228" w:lineRule="auto"/>
              <w:ind w:left="1861"/>
              <w:rPr>
                <w:rFonts w:ascii="宋体" w:hAnsi="宋体" w:eastAsia="宋体" w:cs="宋体"/>
                <w:sz w:val="20"/>
                <w:szCs w:val="20"/>
              </w:rPr>
            </w:pPr>
            <w:r>
              <w:rPr>
                <w:rFonts w:ascii="宋体" w:hAnsi="宋体" w:eastAsia="宋体" w:cs="宋体"/>
                <w:b/>
                <w:bCs/>
                <w:spacing w:val="5"/>
                <w:sz w:val="20"/>
                <w:szCs w:val="20"/>
              </w:rPr>
              <w:t>实施依据</w:t>
            </w:r>
          </w:p>
        </w:tc>
        <w:tc>
          <w:tcPr>
            <w:tcW w:w="4952" w:type="dxa"/>
            <w:vAlign w:val="top"/>
          </w:tcPr>
          <w:p w14:paraId="347E5080">
            <w:pPr>
              <w:spacing w:before="188" w:line="228" w:lineRule="auto"/>
              <w:ind w:left="1488"/>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54516CC3">
            <w:pPr>
              <w:spacing w:before="188"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2B78B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7" w:hRule="atLeast"/>
        </w:trPr>
        <w:tc>
          <w:tcPr>
            <w:tcW w:w="724" w:type="dxa"/>
            <w:vMerge w:val="restart"/>
            <w:tcBorders>
              <w:bottom w:val="nil"/>
            </w:tcBorders>
            <w:textDirection w:val="tbRlV"/>
            <w:vAlign w:val="top"/>
          </w:tcPr>
          <w:p w14:paraId="5D69CD09">
            <w:pPr>
              <w:pStyle w:val="6"/>
              <w:spacing w:before="255" w:line="213" w:lineRule="auto"/>
              <w:ind w:left="2142"/>
              <w:rPr>
                <w:sz w:val="20"/>
                <w:szCs w:val="20"/>
              </w:rPr>
            </w:pPr>
            <w:r>
              <w:rPr>
                <w:spacing w:val="7"/>
                <w:sz w:val="20"/>
                <w:szCs w:val="20"/>
              </w:rPr>
              <w:t>行</w:t>
            </w:r>
            <w:r>
              <w:rPr>
                <w:spacing w:val="-24"/>
                <w:sz w:val="20"/>
                <w:szCs w:val="20"/>
              </w:rPr>
              <w:t xml:space="preserve"> </w:t>
            </w:r>
            <w:r>
              <w:rPr>
                <w:spacing w:val="7"/>
                <w:sz w:val="20"/>
                <w:szCs w:val="20"/>
              </w:rPr>
              <w:t>政</w:t>
            </w:r>
            <w:r>
              <w:rPr>
                <w:spacing w:val="-29"/>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21C24CB0">
            <w:pPr>
              <w:spacing w:line="241" w:lineRule="auto"/>
              <w:rPr>
                <w:rFonts w:ascii="Arial"/>
                <w:sz w:val="21"/>
              </w:rPr>
            </w:pPr>
          </w:p>
          <w:p w14:paraId="7474B6F9">
            <w:pPr>
              <w:spacing w:line="241" w:lineRule="auto"/>
              <w:rPr>
                <w:rFonts w:ascii="Arial"/>
                <w:sz w:val="21"/>
              </w:rPr>
            </w:pPr>
          </w:p>
          <w:p w14:paraId="46F98598">
            <w:pPr>
              <w:spacing w:line="241" w:lineRule="auto"/>
              <w:rPr>
                <w:rFonts w:ascii="Arial"/>
                <w:sz w:val="21"/>
              </w:rPr>
            </w:pPr>
          </w:p>
          <w:p w14:paraId="6B87EF81">
            <w:pPr>
              <w:spacing w:line="241" w:lineRule="auto"/>
              <w:rPr>
                <w:rFonts w:ascii="Arial"/>
                <w:sz w:val="21"/>
              </w:rPr>
            </w:pPr>
          </w:p>
          <w:p w14:paraId="0E854673">
            <w:pPr>
              <w:spacing w:line="241" w:lineRule="auto"/>
              <w:rPr>
                <w:rFonts w:ascii="Arial"/>
                <w:sz w:val="21"/>
              </w:rPr>
            </w:pPr>
          </w:p>
          <w:p w14:paraId="7512EF20">
            <w:pPr>
              <w:spacing w:line="241" w:lineRule="auto"/>
              <w:rPr>
                <w:rFonts w:ascii="Arial"/>
                <w:sz w:val="21"/>
              </w:rPr>
            </w:pPr>
          </w:p>
          <w:p w14:paraId="1965201B">
            <w:pPr>
              <w:spacing w:line="242" w:lineRule="auto"/>
              <w:rPr>
                <w:rFonts w:ascii="Arial"/>
                <w:sz w:val="21"/>
              </w:rPr>
            </w:pPr>
          </w:p>
          <w:p w14:paraId="6A55F120">
            <w:pPr>
              <w:pStyle w:val="6"/>
              <w:spacing w:before="62" w:line="310" w:lineRule="auto"/>
              <w:ind w:left="112" w:right="153" w:firstLine="8"/>
            </w:pPr>
            <w:r>
              <w:rPr>
                <w:spacing w:val="5"/>
              </w:rPr>
              <w:t>6.扣押、查</w:t>
            </w:r>
            <w:r>
              <w:rPr>
                <w:spacing w:val="7"/>
              </w:rPr>
              <w:t>封违反《易制毒化学品管理条例》的有关物</w:t>
            </w:r>
          </w:p>
          <w:p w14:paraId="7728996F">
            <w:pPr>
              <w:pStyle w:val="6"/>
              <w:spacing w:line="225" w:lineRule="auto"/>
              <w:ind w:left="136"/>
            </w:pPr>
            <w:r>
              <w:rPr>
                <w:spacing w:val="1"/>
              </w:rPr>
              <w:t>品、场所</w:t>
            </w:r>
          </w:p>
        </w:tc>
        <w:tc>
          <w:tcPr>
            <w:tcW w:w="4547" w:type="dxa"/>
            <w:vMerge w:val="restart"/>
            <w:tcBorders>
              <w:bottom w:val="nil"/>
            </w:tcBorders>
            <w:vAlign w:val="top"/>
          </w:tcPr>
          <w:p w14:paraId="50A51DE8">
            <w:pPr>
              <w:spacing w:line="419" w:lineRule="auto"/>
              <w:rPr>
                <w:rFonts w:ascii="Arial"/>
                <w:sz w:val="21"/>
              </w:rPr>
            </w:pPr>
          </w:p>
          <w:p w14:paraId="48CCF34E">
            <w:pPr>
              <w:pStyle w:val="6"/>
              <w:spacing w:before="62" w:line="310" w:lineRule="auto"/>
              <w:ind w:left="110" w:right="46" w:hanging="2"/>
              <w:jc w:val="both"/>
            </w:pPr>
            <w:r>
              <w:rPr>
                <w:spacing w:val="6"/>
              </w:rPr>
              <w:t>《易制毒化学品管理条例》第三十二条  县级以上人民政府公安机关、负责药品监督管理的部门、安全生产监督管理部门、商务主管部门、卫生主管部</w:t>
            </w:r>
            <w:r>
              <w:t>门、价格主管部门、铁路主管部门、交通主管部门、</w:t>
            </w:r>
            <w:r>
              <w:rPr>
                <w:spacing w:val="6"/>
              </w:rPr>
              <w:t>市场监督管理部门、生态环境主管部门和海关，应当依照本条例和有关法律、行政法规的规定，在各</w:t>
            </w:r>
            <w:r>
              <w:t>自的职责范围内，加强对易制毒化学品生产、经营、</w:t>
            </w:r>
            <w:r>
              <w:rPr>
                <w:spacing w:val="2"/>
              </w:rPr>
              <w:t>购买、运输、价格以及进</w:t>
            </w:r>
            <w:r>
              <w:rPr>
                <w:spacing w:val="-39"/>
              </w:rPr>
              <w:t xml:space="preserve"> </w:t>
            </w:r>
            <w:r>
              <w:rPr>
                <w:spacing w:val="2"/>
              </w:rPr>
              <w:t>口、出</w:t>
            </w:r>
            <w:r>
              <w:rPr>
                <w:spacing w:val="-52"/>
              </w:rPr>
              <w:t xml:space="preserve"> </w:t>
            </w:r>
            <w:r>
              <w:rPr>
                <w:spacing w:val="2"/>
              </w:rPr>
              <w:t>口的监督检查；对</w:t>
            </w:r>
            <w:r>
              <w:rPr>
                <w:spacing w:val="6"/>
              </w:rPr>
              <w:t>非法生产、经营、购买、运输易制毒化学品，或者</w:t>
            </w:r>
            <w:r>
              <w:rPr>
                <w:spacing w:val="9"/>
              </w:rPr>
              <w:t>走私易制毒化学品的行为，依法予以查处。</w:t>
            </w:r>
          </w:p>
          <w:p w14:paraId="63D96C2D">
            <w:pPr>
              <w:pStyle w:val="6"/>
              <w:spacing w:line="310" w:lineRule="auto"/>
              <w:ind w:left="118" w:right="106" w:firstLine="399"/>
            </w:pPr>
            <w:r>
              <w:rPr>
                <w:spacing w:val="9"/>
              </w:rPr>
              <w:t>前款规定的行政主管部门在进行易制毒化学</w:t>
            </w:r>
            <w:r>
              <w:rPr>
                <w:spacing w:val="6"/>
              </w:rPr>
              <w:t>品监督检查时，可以依法查看现场、查阅和复制有关资料、记录有关情况、扣押相关的证据材料和违</w:t>
            </w:r>
            <w:r>
              <w:rPr>
                <w:spacing w:val="8"/>
              </w:rPr>
              <w:t>法物品；必要时，可以临时查封有关场所。</w:t>
            </w:r>
          </w:p>
        </w:tc>
        <w:tc>
          <w:tcPr>
            <w:tcW w:w="4952" w:type="dxa"/>
            <w:vAlign w:val="top"/>
          </w:tcPr>
          <w:p w14:paraId="5B37247E">
            <w:pPr>
              <w:rPr>
                <w:rFonts w:ascii="Arial"/>
                <w:sz w:val="21"/>
              </w:rPr>
            </w:pPr>
          </w:p>
          <w:p w14:paraId="0147C7A0">
            <w:pPr>
              <w:pStyle w:val="6"/>
              <w:spacing w:before="61" w:line="224" w:lineRule="auto"/>
              <w:ind w:left="125"/>
            </w:pPr>
            <w:r>
              <w:rPr>
                <w:spacing w:val="8"/>
              </w:rPr>
              <w:t>1、核实违法事实，报行政机关负责人批准。</w:t>
            </w:r>
          </w:p>
        </w:tc>
        <w:tc>
          <w:tcPr>
            <w:tcW w:w="3769" w:type="dxa"/>
            <w:vMerge w:val="restart"/>
            <w:tcBorders>
              <w:bottom w:val="nil"/>
            </w:tcBorders>
            <w:vAlign w:val="top"/>
          </w:tcPr>
          <w:p w14:paraId="3153345C">
            <w:pPr>
              <w:spacing w:line="244" w:lineRule="auto"/>
              <w:rPr>
                <w:rFonts w:ascii="Arial"/>
                <w:sz w:val="21"/>
              </w:rPr>
            </w:pPr>
          </w:p>
          <w:p w14:paraId="67B8C4F9">
            <w:pPr>
              <w:spacing w:line="244" w:lineRule="auto"/>
              <w:rPr>
                <w:rFonts w:ascii="Arial"/>
                <w:sz w:val="21"/>
              </w:rPr>
            </w:pPr>
          </w:p>
          <w:p w14:paraId="281E2BFB">
            <w:pPr>
              <w:spacing w:line="245" w:lineRule="auto"/>
              <w:rPr>
                <w:rFonts w:ascii="Arial"/>
                <w:sz w:val="21"/>
              </w:rPr>
            </w:pPr>
          </w:p>
          <w:p w14:paraId="565EA190">
            <w:pPr>
              <w:spacing w:line="245" w:lineRule="auto"/>
              <w:rPr>
                <w:rFonts w:ascii="Arial"/>
                <w:sz w:val="21"/>
              </w:rPr>
            </w:pPr>
          </w:p>
          <w:p w14:paraId="21A42E16">
            <w:pPr>
              <w:spacing w:line="245" w:lineRule="auto"/>
              <w:rPr>
                <w:rFonts w:ascii="Arial"/>
                <w:sz w:val="21"/>
              </w:rPr>
            </w:pPr>
          </w:p>
          <w:p w14:paraId="6472E828">
            <w:pPr>
              <w:spacing w:line="245" w:lineRule="auto"/>
              <w:rPr>
                <w:rFonts w:ascii="Arial"/>
                <w:sz w:val="21"/>
              </w:rPr>
            </w:pPr>
          </w:p>
          <w:p w14:paraId="6C3D3C44">
            <w:pPr>
              <w:spacing w:line="245" w:lineRule="auto"/>
              <w:rPr>
                <w:rFonts w:ascii="Arial"/>
                <w:sz w:val="21"/>
              </w:rPr>
            </w:pPr>
          </w:p>
          <w:p w14:paraId="7BC7F694">
            <w:pPr>
              <w:spacing w:line="245" w:lineRule="auto"/>
              <w:rPr>
                <w:rFonts w:ascii="Arial"/>
                <w:sz w:val="21"/>
              </w:rPr>
            </w:pPr>
          </w:p>
          <w:p w14:paraId="63578A73">
            <w:pPr>
              <w:spacing w:line="245" w:lineRule="auto"/>
              <w:rPr>
                <w:rFonts w:ascii="Arial"/>
                <w:sz w:val="21"/>
              </w:rPr>
            </w:pPr>
          </w:p>
          <w:p w14:paraId="586FE0D9">
            <w:pPr>
              <w:pStyle w:val="6"/>
              <w:spacing w:before="65" w:line="259" w:lineRule="auto"/>
              <w:ind w:left="114"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6FC7D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724" w:type="dxa"/>
            <w:vMerge w:val="continue"/>
            <w:tcBorders>
              <w:top w:val="nil"/>
              <w:bottom w:val="nil"/>
            </w:tcBorders>
            <w:textDirection w:val="tbRlV"/>
            <w:vAlign w:val="top"/>
          </w:tcPr>
          <w:p w14:paraId="066A8844">
            <w:pPr>
              <w:rPr>
                <w:rFonts w:ascii="Arial"/>
                <w:sz w:val="21"/>
              </w:rPr>
            </w:pPr>
          </w:p>
        </w:tc>
        <w:tc>
          <w:tcPr>
            <w:tcW w:w="1260" w:type="dxa"/>
            <w:vMerge w:val="continue"/>
            <w:tcBorders>
              <w:top w:val="nil"/>
              <w:bottom w:val="nil"/>
            </w:tcBorders>
            <w:vAlign w:val="top"/>
          </w:tcPr>
          <w:p w14:paraId="27782B15">
            <w:pPr>
              <w:rPr>
                <w:rFonts w:ascii="Arial"/>
                <w:sz w:val="21"/>
              </w:rPr>
            </w:pPr>
          </w:p>
        </w:tc>
        <w:tc>
          <w:tcPr>
            <w:tcW w:w="4547" w:type="dxa"/>
            <w:vMerge w:val="continue"/>
            <w:tcBorders>
              <w:top w:val="nil"/>
              <w:bottom w:val="nil"/>
            </w:tcBorders>
            <w:vAlign w:val="top"/>
          </w:tcPr>
          <w:p w14:paraId="16D84AA9">
            <w:pPr>
              <w:rPr>
                <w:rFonts w:ascii="Arial"/>
                <w:sz w:val="21"/>
              </w:rPr>
            </w:pPr>
          </w:p>
        </w:tc>
        <w:tc>
          <w:tcPr>
            <w:tcW w:w="4952" w:type="dxa"/>
            <w:vAlign w:val="top"/>
          </w:tcPr>
          <w:p w14:paraId="28C83969">
            <w:pPr>
              <w:spacing w:line="283" w:lineRule="auto"/>
              <w:rPr>
                <w:rFonts w:ascii="Arial"/>
                <w:sz w:val="21"/>
              </w:rPr>
            </w:pPr>
          </w:p>
          <w:p w14:paraId="6B42D81F">
            <w:pPr>
              <w:pStyle w:val="6"/>
              <w:spacing w:before="62" w:line="224" w:lineRule="auto"/>
              <w:ind w:left="120"/>
            </w:pPr>
            <w:r>
              <w:rPr>
                <w:spacing w:val="7"/>
              </w:rPr>
              <w:t>2、依法作出处理决定。</w:t>
            </w:r>
          </w:p>
        </w:tc>
        <w:tc>
          <w:tcPr>
            <w:tcW w:w="3769" w:type="dxa"/>
            <w:vMerge w:val="continue"/>
            <w:tcBorders>
              <w:top w:val="nil"/>
              <w:bottom w:val="nil"/>
            </w:tcBorders>
            <w:vAlign w:val="top"/>
          </w:tcPr>
          <w:p w14:paraId="5205563C">
            <w:pPr>
              <w:rPr>
                <w:rFonts w:ascii="Arial"/>
                <w:sz w:val="21"/>
              </w:rPr>
            </w:pPr>
          </w:p>
        </w:tc>
      </w:tr>
      <w:tr w14:paraId="5D723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32C12859">
            <w:pPr>
              <w:rPr>
                <w:rFonts w:ascii="Arial"/>
                <w:sz w:val="21"/>
              </w:rPr>
            </w:pPr>
          </w:p>
        </w:tc>
        <w:tc>
          <w:tcPr>
            <w:tcW w:w="1260" w:type="dxa"/>
            <w:vMerge w:val="continue"/>
            <w:tcBorders>
              <w:top w:val="nil"/>
              <w:bottom w:val="nil"/>
            </w:tcBorders>
            <w:vAlign w:val="top"/>
          </w:tcPr>
          <w:p w14:paraId="62234875">
            <w:pPr>
              <w:rPr>
                <w:rFonts w:ascii="Arial"/>
                <w:sz w:val="21"/>
              </w:rPr>
            </w:pPr>
          </w:p>
        </w:tc>
        <w:tc>
          <w:tcPr>
            <w:tcW w:w="4547" w:type="dxa"/>
            <w:vMerge w:val="continue"/>
            <w:tcBorders>
              <w:top w:val="nil"/>
              <w:bottom w:val="nil"/>
            </w:tcBorders>
            <w:vAlign w:val="top"/>
          </w:tcPr>
          <w:p w14:paraId="1461D5A4">
            <w:pPr>
              <w:rPr>
                <w:rFonts w:ascii="Arial"/>
                <w:sz w:val="21"/>
              </w:rPr>
            </w:pPr>
          </w:p>
        </w:tc>
        <w:tc>
          <w:tcPr>
            <w:tcW w:w="4952" w:type="dxa"/>
            <w:vAlign w:val="top"/>
          </w:tcPr>
          <w:p w14:paraId="1782DD5E">
            <w:pPr>
              <w:pStyle w:val="6"/>
              <w:spacing w:before="216" w:line="310" w:lineRule="auto"/>
              <w:ind w:left="110" w:right="104" w:firstLine="17"/>
              <w:jc w:val="both"/>
            </w:pPr>
            <w:r>
              <w:rPr>
                <w:spacing w:val="8"/>
              </w:rPr>
              <w:t>3、制作笔录，告知当事人采取强制措施的理由、依据</w:t>
            </w:r>
            <w:r>
              <w:rPr>
                <w:spacing w:val="7"/>
              </w:rPr>
              <w:t>及当事人依法享有的权利，并当场交付查封、扣押决定</w:t>
            </w:r>
            <w:r>
              <w:rPr>
                <w:spacing w:val="8"/>
              </w:rPr>
              <w:t>书和清单、实施查封、扣押。</w:t>
            </w:r>
          </w:p>
        </w:tc>
        <w:tc>
          <w:tcPr>
            <w:tcW w:w="3769" w:type="dxa"/>
            <w:vMerge w:val="continue"/>
            <w:tcBorders>
              <w:top w:val="nil"/>
              <w:bottom w:val="nil"/>
            </w:tcBorders>
            <w:vAlign w:val="top"/>
          </w:tcPr>
          <w:p w14:paraId="41081849">
            <w:pPr>
              <w:rPr>
                <w:rFonts w:ascii="Arial"/>
                <w:sz w:val="21"/>
              </w:rPr>
            </w:pPr>
          </w:p>
        </w:tc>
      </w:tr>
      <w:tr w14:paraId="66411A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6" w:hRule="atLeast"/>
        </w:trPr>
        <w:tc>
          <w:tcPr>
            <w:tcW w:w="724" w:type="dxa"/>
            <w:vMerge w:val="continue"/>
            <w:tcBorders>
              <w:top w:val="nil"/>
              <w:bottom w:val="nil"/>
            </w:tcBorders>
            <w:textDirection w:val="tbRlV"/>
            <w:vAlign w:val="top"/>
          </w:tcPr>
          <w:p w14:paraId="59A7C8CF">
            <w:pPr>
              <w:rPr>
                <w:rFonts w:ascii="Arial"/>
                <w:sz w:val="21"/>
              </w:rPr>
            </w:pPr>
          </w:p>
        </w:tc>
        <w:tc>
          <w:tcPr>
            <w:tcW w:w="1260" w:type="dxa"/>
            <w:vMerge w:val="continue"/>
            <w:tcBorders>
              <w:top w:val="nil"/>
              <w:bottom w:val="nil"/>
            </w:tcBorders>
            <w:vAlign w:val="top"/>
          </w:tcPr>
          <w:p w14:paraId="47B9F824">
            <w:pPr>
              <w:rPr>
                <w:rFonts w:ascii="Arial"/>
                <w:sz w:val="21"/>
              </w:rPr>
            </w:pPr>
          </w:p>
        </w:tc>
        <w:tc>
          <w:tcPr>
            <w:tcW w:w="4547" w:type="dxa"/>
            <w:vMerge w:val="continue"/>
            <w:tcBorders>
              <w:top w:val="nil"/>
              <w:bottom w:val="nil"/>
            </w:tcBorders>
            <w:vAlign w:val="top"/>
          </w:tcPr>
          <w:p w14:paraId="6A1BE149">
            <w:pPr>
              <w:rPr>
                <w:rFonts w:ascii="Arial"/>
                <w:sz w:val="21"/>
              </w:rPr>
            </w:pPr>
          </w:p>
        </w:tc>
        <w:tc>
          <w:tcPr>
            <w:tcW w:w="4952" w:type="dxa"/>
            <w:vAlign w:val="top"/>
          </w:tcPr>
          <w:p w14:paraId="2F613DF2">
            <w:pPr>
              <w:pStyle w:val="6"/>
              <w:spacing w:before="64" w:line="310" w:lineRule="auto"/>
              <w:ind w:left="118" w:right="45"/>
              <w:jc w:val="both"/>
            </w:pPr>
            <w:r>
              <w:rPr>
                <w:spacing w:val="9"/>
              </w:rPr>
              <w:t>4、行政机关采取查封、扣押措施后，应当及时查清事</w:t>
            </w:r>
            <w:r>
              <w:rPr>
                <w:spacing w:val="6"/>
              </w:rPr>
              <w:t>实，在《中华人民共和国行政强制法》第二十五条规定的期限内作出处理决定。对违法事实清楚，依法应当没收的非法财物予以没收；法律、行政法规规定应当销毁</w:t>
            </w:r>
            <w:r>
              <w:rPr>
                <w:spacing w:val="1"/>
              </w:rPr>
              <w:t>的，依法销毁；应当解除查封、扣押的，作出解除查封、</w:t>
            </w:r>
            <w:r>
              <w:rPr>
                <w:spacing w:val="5"/>
              </w:rPr>
              <w:t>扣押的决定。</w:t>
            </w:r>
          </w:p>
        </w:tc>
        <w:tc>
          <w:tcPr>
            <w:tcW w:w="3769" w:type="dxa"/>
            <w:vMerge w:val="continue"/>
            <w:tcBorders>
              <w:top w:val="nil"/>
              <w:bottom w:val="nil"/>
            </w:tcBorders>
            <w:vAlign w:val="top"/>
          </w:tcPr>
          <w:p w14:paraId="18D1F3FE">
            <w:pPr>
              <w:rPr>
                <w:rFonts w:ascii="Arial"/>
                <w:sz w:val="21"/>
              </w:rPr>
            </w:pPr>
          </w:p>
        </w:tc>
      </w:tr>
      <w:tr w14:paraId="658BA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2537C61D">
            <w:pPr>
              <w:rPr>
                <w:rFonts w:ascii="Arial"/>
                <w:sz w:val="21"/>
              </w:rPr>
            </w:pPr>
          </w:p>
        </w:tc>
        <w:tc>
          <w:tcPr>
            <w:tcW w:w="1260" w:type="dxa"/>
            <w:vMerge w:val="continue"/>
            <w:tcBorders>
              <w:top w:val="nil"/>
            </w:tcBorders>
            <w:vAlign w:val="top"/>
          </w:tcPr>
          <w:p w14:paraId="7BCE8412">
            <w:pPr>
              <w:rPr>
                <w:rFonts w:ascii="Arial"/>
                <w:sz w:val="21"/>
              </w:rPr>
            </w:pPr>
          </w:p>
        </w:tc>
        <w:tc>
          <w:tcPr>
            <w:tcW w:w="4547" w:type="dxa"/>
            <w:vMerge w:val="continue"/>
            <w:tcBorders>
              <w:top w:val="nil"/>
            </w:tcBorders>
            <w:vAlign w:val="top"/>
          </w:tcPr>
          <w:p w14:paraId="1FA2AF09">
            <w:pPr>
              <w:rPr>
                <w:rFonts w:ascii="Arial"/>
                <w:sz w:val="21"/>
              </w:rPr>
            </w:pPr>
          </w:p>
        </w:tc>
        <w:tc>
          <w:tcPr>
            <w:tcW w:w="4952" w:type="dxa"/>
            <w:vAlign w:val="top"/>
          </w:tcPr>
          <w:p w14:paraId="59B7A236">
            <w:pPr>
              <w:pStyle w:val="6"/>
              <w:spacing w:before="90" w:line="224" w:lineRule="auto"/>
              <w:ind w:left="122"/>
            </w:pPr>
            <w:r>
              <w:rPr>
                <w:spacing w:val="8"/>
              </w:rPr>
              <w:t>5、其他法律法规规章规定应履行的责任。</w:t>
            </w:r>
          </w:p>
        </w:tc>
        <w:tc>
          <w:tcPr>
            <w:tcW w:w="3769" w:type="dxa"/>
            <w:vMerge w:val="continue"/>
            <w:tcBorders>
              <w:top w:val="nil"/>
            </w:tcBorders>
            <w:vAlign w:val="top"/>
          </w:tcPr>
          <w:p w14:paraId="0C01771C">
            <w:pPr>
              <w:rPr>
                <w:rFonts w:ascii="Arial"/>
                <w:sz w:val="21"/>
              </w:rPr>
            </w:pPr>
          </w:p>
        </w:tc>
      </w:tr>
      <w:tr w14:paraId="4D713D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344A1FA3">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C34C024">
      <w:pPr>
        <w:rPr>
          <w:rFonts w:ascii="Arial"/>
          <w:sz w:val="21"/>
        </w:rPr>
      </w:pPr>
    </w:p>
    <w:p w14:paraId="5434222D">
      <w:pPr>
        <w:rPr>
          <w:rFonts w:ascii="Arial" w:hAnsi="Arial" w:eastAsia="Arial" w:cs="Arial"/>
          <w:sz w:val="21"/>
          <w:szCs w:val="21"/>
        </w:rPr>
        <w:sectPr>
          <w:footerReference r:id="rId10" w:type="default"/>
          <w:pgSz w:w="16839" w:h="11906"/>
          <w:pgMar w:top="1012" w:right="685" w:bottom="1213" w:left="895" w:header="0" w:footer="938" w:gutter="0"/>
          <w:cols w:space="720" w:num="1"/>
        </w:sectPr>
      </w:pPr>
    </w:p>
    <w:p w14:paraId="5B982204">
      <w:pPr>
        <w:spacing w:before="36"/>
      </w:pPr>
    </w:p>
    <w:p w14:paraId="7381E7D0">
      <w:pPr>
        <w:spacing w:before="36"/>
      </w:pPr>
    </w:p>
    <w:p w14:paraId="7B432AAB">
      <w:pPr>
        <w:spacing w:before="36"/>
      </w:pPr>
    </w:p>
    <w:p w14:paraId="571386D3">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12F06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1361AC7">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D0A7B36">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9808D0B">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07C8A9EE">
            <w:pPr>
              <w:spacing w:before="190"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200F5F8B">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7EEE17F3">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66CCD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trPr>
        <w:tc>
          <w:tcPr>
            <w:tcW w:w="724" w:type="dxa"/>
            <w:vMerge w:val="restart"/>
            <w:tcBorders>
              <w:bottom w:val="nil"/>
            </w:tcBorders>
            <w:textDirection w:val="tbRlV"/>
            <w:vAlign w:val="top"/>
          </w:tcPr>
          <w:p w14:paraId="6FA38DAC">
            <w:pPr>
              <w:pStyle w:val="6"/>
              <w:spacing w:before="255" w:line="213" w:lineRule="auto"/>
              <w:ind w:left="1933"/>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2CA0A88C">
            <w:pPr>
              <w:spacing w:line="273" w:lineRule="auto"/>
              <w:rPr>
                <w:rFonts w:ascii="Arial"/>
                <w:sz w:val="21"/>
              </w:rPr>
            </w:pPr>
          </w:p>
          <w:p w14:paraId="047B0474">
            <w:pPr>
              <w:spacing w:line="273" w:lineRule="auto"/>
              <w:rPr>
                <w:rFonts w:ascii="Arial"/>
                <w:sz w:val="21"/>
              </w:rPr>
            </w:pPr>
          </w:p>
          <w:p w14:paraId="5294A60F">
            <w:pPr>
              <w:spacing w:line="273" w:lineRule="auto"/>
              <w:rPr>
                <w:rFonts w:ascii="Arial"/>
                <w:sz w:val="21"/>
              </w:rPr>
            </w:pPr>
          </w:p>
          <w:p w14:paraId="5B90E937">
            <w:pPr>
              <w:spacing w:line="273" w:lineRule="auto"/>
              <w:rPr>
                <w:rFonts w:ascii="Arial"/>
                <w:sz w:val="21"/>
              </w:rPr>
            </w:pPr>
          </w:p>
          <w:p w14:paraId="12D26979">
            <w:pPr>
              <w:spacing w:line="274" w:lineRule="auto"/>
              <w:rPr>
                <w:rFonts w:ascii="Arial"/>
                <w:sz w:val="21"/>
              </w:rPr>
            </w:pPr>
          </w:p>
          <w:p w14:paraId="0080A6E8">
            <w:pPr>
              <w:spacing w:line="274" w:lineRule="auto"/>
              <w:rPr>
                <w:rFonts w:ascii="Arial"/>
                <w:sz w:val="21"/>
              </w:rPr>
            </w:pPr>
          </w:p>
          <w:p w14:paraId="41946000">
            <w:pPr>
              <w:pStyle w:val="6"/>
              <w:spacing w:before="62" w:line="310" w:lineRule="auto"/>
              <w:ind w:left="108" w:right="153" w:firstLine="12"/>
              <w:jc w:val="both"/>
            </w:pPr>
            <w:r>
              <w:rPr>
                <w:spacing w:val="5"/>
              </w:rPr>
              <w:t>7.查封、扣</w:t>
            </w:r>
            <w:r>
              <w:rPr>
                <w:spacing w:val="8"/>
              </w:rPr>
              <w:t>押与违法直销活动有关的材料和财</w:t>
            </w:r>
            <w:r>
              <w:rPr>
                <w:spacing w:val="4"/>
              </w:rPr>
              <w:t>物</w:t>
            </w:r>
          </w:p>
        </w:tc>
        <w:tc>
          <w:tcPr>
            <w:tcW w:w="3307" w:type="dxa"/>
            <w:vMerge w:val="restart"/>
            <w:tcBorders>
              <w:bottom w:val="nil"/>
            </w:tcBorders>
            <w:vAlign w:val="top"/>
          </w:tcPr>
          <w:p w14:paraId="4CD708DA">
            <w:pPr>
              <w:spacing w:line="370" w:lineRule="auto"/>
              <w:rPr>
                <w:rFonts w:ascii="Arial"/>
                <w:sz w:val="21"/>
              </w:rPr>
            </w:pPr>
          </w:p>
          <w:p w14:paraId="175EBCC5">
            <w:pPr>
              <w:pStyle w:val="6"/>
              <w:spacing w:before="61" w:line="310" w:lineRule="auto"/>
              <w:ind w:left="111" w:right="198" w:hanging="3"/>
            </w:pPr>
            <w:r>
              <w:rPr>
                <w:spacing w:val="7"/>
              </w:rPr>
              <w:t>《直销管理条例》《国务院第</w:t>
            </w:r>
            <w:r>
              <w:rPr>
                <w:spacing w:val="-20"/>
              </w:rPr>
              <w:t xml:space="preserve"> </w:t>
            </w:r>
            <w:r>
              <w:rPr>
                <w:spacing w:val="7"/>
              </w:rPr>
              <w:t>443</w:t>
            </w:r>
            <w:r>
              <w:rPr>
                <w:spacing w:val="8"/>
              </w:rPr>
              <w:t>号文》第三十五条  工商行政管理</w:t>
            </w:r>
            <w:r>
              <w:rPr>
                <w:spacing w:val="9"/>
              </w:rPr>
              <w:t>部门负责对直销企业和直销员及其直销活动实施日常的监督管理。工商行政管理部门可以采取下列措施</w:t>
            </w:r>
            <w:r>
              <w:t>进行现场检查：</w:t>
            </w:r>
            <w:r>
              <w:rPr>
                <w:spacing w:val="-46"/>
              </w:rPr>
              <w:t xml:space="preserve"> </w:t>
            </w:r>
            <w:r>
              <w:t>…</w:t>
            </w:r>
            <w:r>
              <w:rPr>
                <w:spacing w:val="-62"/>
              </w:rPr>
              <w:t xml:space="preserve"> </w:t>
            </w:r>
            <w:r>
              <w:t>…（</w:t>
            </w:r>
            <w:r>
              <w:rPr>
                <w:spacing w:val="-36"/>
              </w:rPr>
              <w:t xml:space="preserve"> </w:t>
            </w:r>
            <w:r>
              <w:t>四）查阅、</w:t>
            </w:r>
            <w:r>
              <w:rPr>
                <w:spacing w:val="9"/>
              </w:rPr>
              <w:t>复制、查封、扣押相关企业与直销</w:t>
            </w:r>
            <w:r>
              <w:rPr>
                <w:spacing w:val="6"/>
              </w:rPr>
              <w:t>活动有关的材料和非法财物；</w:t>
            </w:r>
            <w:r>
              <w:rPr>
                <w:spacing w:val="-44"/>
              </w:rPr>
              <w:t xml:space="preserve"> </w:t>
            </w:r>
            <w:r>
              <w:rPr>
                <w:spacing w:val="6"/>
              </w:rPr>
              <w:t>…工</w:t>
            </w:r>
            <w:r>
              <w:rPr>
                <w:spacing w:val="9"/>
              </w:rPr>
              <w:t>商行政管理部门依照前款规定进行</w:t>
            </w:r>
            <w:r>
              <w:rPr>
                <w:spacing w:val="7"/>
              </w:rPr>
              <w:t>现场检查时，检查人员不得少于</w:t>
            </w:r>
            <w:r>
              <w:rPr>
                <w:spacing w:val="-16"/>
              </w:rPr>
              <w:t xml:space="preserve"> </w:t>
            </w:r>
            <w:r>
              <w:rPr>
                <w:spacing w:val="7"/>
              </w:rPr>
              <w:t>2</w:t>
            </w:r>
            <w:r>
              <w:rPr>
                <w:spacing w:val="9"/>
              </w:rPr>
              <w:t>人，并应当出示合法证件；实施查封、扣押的，必须经县级以上工商</w:t>
            </w:r>
            <w:r>
              <w:rPr>
                <w:spacing w:val="8"/>
              </w:rPr>
              <w:t>行政管理部门主要负责人批准。</w:t>
            </w:r>
          </w:p>
        </w:tc>
        <w:tc>
          <w:tcPr>
            <w:tcW w:w="6193" w:type="dxa"/>
            <w:vAlign w:val="top"/>
          </w:tcPr>
          <w:p w14:paraId="69AA7E7C">
            <w:pPr>
              <w:spacing w:line="316" w:lineRule="auto"/>
              <w:rPr>
                <w:rFonts w:ascii="Arial"/>
                <w:sz w:val="21"/>
              </w:rPr>
            </w:pPr>
          </w:p>
          <w:p w14:paraId="2934192E">
            <w:pPr>
              <w:pStyle w:val="6"/>
              <w:spacing w:before="61" w:line="224" w:lineRule="auto"/>
              <w:ind w:left="124"/>
            </w:pPr>
            <w:r>
              <w:rPr>
                <w:spacing w:val="8"/>
              </w:rPr>
              <w:t>1、核实违法事实，报行政机关负责人批准。</w:t>
            </w:r>
          </w:p>
        </w:tc>
        <w:tc>
          <w:tcPr>
            <w:tcW w:w="3768" w:type="dxa"/>
            <w:vMerge w:val="restart"/>
            <w:tcBorders>
              <w:bottom w:val="nil"/>
            </w:tcBorders>
            <w:vAlign w:val="top"/>
          </w:tcPr>
          <w:p w14:paraId="64663BF1">
            <w:pPr>
              <w:spacing w:line="249" w:lineRule="auto"/>
              <w:rPr>
                <w:rFonts w:ascii="Arial"/>
                <w:sz w:val="21"/>
              </w:rPr>
            </w:pPr>
          </w:p>
          <w:p w14:paraId="395A1C48">
            <w:pPr>
              <w:spacing w:line="249" w:lineRule="auto"/>
              <w:rPr>
                <w:rFonts w:ascii="Arial"/>
                <w:sz w:val="21"/>
              </w:rPr>
            </w:pPr>
          </w:p>
          <w:p w14:paraId="3172EF6E">
            <w:pPr>
              <w:spacing w:line="249" w:lineRule="auto"/>
              <w:rPr>
                <w:rFonts w:ascii="Arial"/>
                <w:sz w:val="21"/>
              </w:rPr>
            </w:pPr>
          </w:p>
          <w:p w14:paraId="1C69406F">
            <w:pPr>
              <w:spacing w:line="249" w:lineRule="auto"/>
              <w:rPr>
                <w:rFonts w:ascii="Arial"/>
                <w:sz w:val="21"/>
              </w:rPr>
            </w:pPr>
          </w:p>
          <w:p w14:paraId="035BF290">
            <w:pPr>
              <w:spacing w:line="249" w:lineRule="auto"/>
              <w:rPr>
                <w:rFonts w:ascii="Arial"/>
                <w:sz w:val="21"/>
              </w:rPr>
            </w:pPr>
          </w:p>
          <w:p w14:paraId="27AF39B8">
            <w:pPr>
              <w:spacing w:line="250" w:lineRule="auto"/>
              <w:rPr>
                <w:rFonts w:ascii="Arial"/>
                <w:sz w:val="21"/>
              </w:rPr>
            </w:pPr>
          </w:p>
          <w:p w14:paraId="67AEF891">
            <w:pPr>
              <w:spacing w:line="250" w:lineRule="auto"/>
              <w:rPr>
                <w:rFonts w:ascii="Arial"/>
                <w:sz w:val="21"/>
              </w:rPr>
            </w:pPr>
          </w:p>
          <w:p w14:paraId="47A2E794">
            <w:pPr>
              <w:spacing w:line="250" w:lineRule="auto"/>
              <w:rPr>
                <w:rFonts w:ascii="Arial"/>
                <w:sz w:val="21"/>
              </w:rPr>
            </w:pPr>
          </w:p>
          <w:p w14:paraId="114791D5">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68B55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trPr>
        <w:tc>
          <w:tcPr>
            <w:tcW w:w="724" w:type="dxa"/>
            <w:vMerge w:val="continue"/>
            <w:tcBorders>
              <w:top w:val="nil"/>
              <w:bottom w:val="nil"/>
            </w:tcBorders>
            <w:textDirection w:val="tbRlV"/>
            <w:vAlign w:val="top"/>
          </w:tcPr>
          <w:p w14:paraId="065B5D6F">
            <w:pPr>
              <w:rPr>
                <w:rFonts w:ascii="Arial"/>
                <w:sz w:val="21"/>
              </w:rPr>
            </w:pPr>
          </w:p>
        </w:tc>
        <w:tc>
          <w:tcPr>
            <w:tcW w:w="1260" w:type="dxa"/>
            <w:vMerge w:val="continue"/>
            <w:tcBorders>
              <w:top w:val="nil"/>
              <w:bottom w:val="nil"/>
            </w:tcBorders>
            <w:vAlign w:val="top"/>
          </w:tcPr>
          <w:p w14:paraId="0436DCE6">
            <w:pPr>
              <w:rPr>
                <w:rFonts w:ascii="Arial"/>
                <w:sz w:val="21"/>
              </w:rPr>
            </w:pPr>
          </w:p>
        </w:tc>
        <w:tc>
          <w:tcPr>
            <w:tcW w:w="3307" w:type="dxa"/>
            <w:vMerge w:val="continue"/>
            <w:tcBorders>
              <w:top w:val="nil"/>
              <w:bottom w:val="nil"/>
            </w:tcBorders>
            <w:vAlign w:val="top"/>
          </w:tcPr>
          <w:p w14:paraId="2C587E85">
            <w:pPr>
              <w:rPr>
                <w:rFonts w:ascii="Arial"/>
                <w:sz w:val="21"/>
              </w:rPr>
            </w:pPr>
          </w:p>
        </w:tc>
        <w:tc>
          <w:tcPr>
            <w:tcW w:w="6193" w:type="dxa"/>
            <w:vAlign w:val="top"/>
          </w:tcPr>
          <w:p w14:paraId="536A3258">
            <w:pPr>
              <w:spacing w:line="276" w:lineRule="auto"/>
              <w:rPr>
                <w:rFonts w:ascii="Arial"/>
                <w:sz w:val="21"/>
              </w:rPr>
            </w:pPr>
          </w:p>
          <w:p w14:paraId="0F5B9A07">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1BF2EBE9">
            <w:pPr>
              <w:rPr>
                <w:rFonts w:ascii="Arial"/>
                <w:sz w:val="21"/>
              </w:rPr>
            </w:pPr>
          </w:p>
        </w:tc>
      </w:tr>
      <w:tr w14:paraId="5FD1D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trPr>
        <w:tc>
          <w:tcPr>
            <w:tcW w:w="724" w:type="dxa"/>
            <w:vMerge w:val="continue"/>
            <w:tcBorders>
              <w:top w:val="nil"/>
              <w:bottom w:val="nil"/>
            </w:tcBorders>
            <w:textDirection w:val="tbRlV"/>
            <w:vAlign w:val="top"/>
          </w:tcPr>
          <w:p w14:paraId="3CED62C2">
            <w:pPr>
              <w:rPr>
                <w:rFonts w:ascii="Arial"/>
                <w:sz w:val="21"/>
              </w:rPr>
            </w:pPr>
          </w:p>
        </w:tc>
        <w:tc>
          <w:tcPr>
            <w:tcW w:w="1260" w:type="dxa"/>
            <w:vMerge w:val="continue"/>
            <w:tcBorders>
              <w:top w:val="nil"/>
              <w:bottom w:val="nil"/>
            </w:tcBorders>
            <w:vAlign w:val="top"/>
          </w:tcPr>
          <w:p w14:paraId="047BC721">
            <w:pPr>
              <w:rPr>
                <w:rFonts w:ascii="Arial"/>
                <w:sz w:val="21"/>
              </w:rPr>
            </w:pPr>
          </w:p>
        </w:tc>
        <w:tc>
          <w:tcPr>
            <w:tcW w:w="3307" w:type="dxa"/>
            <w:vMerge w:val="continue"/>
            <w:tcBorders>
              <w:top w:val="nil"/>
              <w:bottom w:val="nil"/>
            </w:tcBorders>
            <w:vAlign w:val="top"/>
          </w:tcPr>
          <w:p w14:paraId="28C51223">
            <w:pPr>
              <w:rPr>
                <w:rFonts w:ascii="Arial"/>
                <w:sz w:val="21"/>
              </w:rPr>
            </w:pPr>
          </w:p>
        </w:tc>
        <w:tc>
          <w:tcPr>
            <w:tcW w:w="6193" w:type="dxa"/>
            <w:vAlign w:val="top"/>
          </w:tcPr>
          <w:p w14:paraId="2EB85274">
            <w:pPr>
              <w:pStyle w:val="6"/>
              <w:spacing w:before="259"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481DB8EB">
            <w:pPr>
              <w:rPr>
                <w:rFonts w:ascii="Arial"/>
                <w:sz w:val="21"/>
              </w:rPr>
            </w:pPr>
          </w:p>
        </w:tc>
      </w:tr>
      <w:tr w14:paraId="47D071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3B161A4D">
            <w:pPr>
              <w:rPr>
                <w:rFonts w:ascii="Arial"/>
                <w:sz w:val="21"/>
              </w:rPr>
            </w:pPr>
          </w:p>
        </w:tc>
        <w:tc>
          <w:tcPr>
            <w:tcW w:w="1260" w:type="dxa"/>
            <w:vMerge w:val="continue"/>
            <w:tcBorders>
              <w:top w:val="nil"/>
              <w:bottom w:val="nil"/>
            </w:tcBorders>
            <w:vAlign w:val="top"/>
          </w:tcPr>
          <w:p w14:paraId="14228F8C">
            <w:pPr>
              <w:rPr>
                <w:rFonts w:ascii="Arial"/>
                <w:sz w:val="21"/>
              </w:rPr>
            </w:pPr>
          </w:p>
        </w:tc>
        <w:tc>
          <w:tcPr>
            <w:tcW w:w="3307" w:type="dxa"/>
            <w:vMerge w:val="continue"/>
            <w:tcBorders>
              <w:top w:val="nil"/>
              <w:bottom w:val="nil"/>
            </w:tcBorders>
            <w:vAlign w:val="top"/>
          </w:tcPr>
          <w:p w14:paraId="2D9EEF2D">
            <w:pPr>
              <w:rPr>
                <w:rFonts w:ascii="Arial"/>
                <w:sz w:val="21"/>
              </w:rPr>
            </w:pPr>
          </w:p>
        </w:tc>
        <w:tc>
          <w:tcPr>
            <w:tcW w:w="6193" w:type="dxa"/>
            <w:vAlign w:val="top"/>
          </w:tcPr>
          <w:p w14:paraId="3674C646">
            <w:pPr>
              <w:pStyle w:val="6"/>
              <w:spacing w:before="67"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17568541">
            <w:pPr>
              <w:rPr>
                <w:rFonts w:ascii="Arial"/>
                <w:sz w:val="21"/>
              </w:rPr>
            </w:pPr>
          </w:p>
        </w:tc>
      </w:tr>
      <w:tr w14:paraId="5F21F0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00E599CA">
            <w:pPr>
              <w:rPr>
                <w:rFonts w:ascii="Arial"/>
                <w:sz w:val="21"/>
              </w:rPr>
            </w:pPr>
          </w:p>
        </w:tc>
        <w:tc>
          <w:tcPr>
            <w:tcW w:w="1260" w:type="dxa"/>
            <w:vMerge w:val="continue"/>
            <w:tcBorders>
              <w:top w:val="nil"/>
            </w:tcBorders>
            <w:vAlign w:val="top"/>
          </w:tcPr>
          <w:p w14:paraId="3FD65809">
            <w:pPr>
              <w:rPr>
                <w:rFonts w:ascii="Arial"/>
                <w:sz w:val="21"/>
              </w:rPr>
            </w:pPr>
          </w:p>
        </w:tc>
        <w:tc>
          <w:tcPr>
            <w:tcW w:w="3307" w:type="dxa"/>
            <w:vMerge w:val="continue"/>
            <w:tcBorders>
              <w:top w:val="nil"/>
            </w:tcBorders>
            <w:vAlign w:val="top"/>
          </w:tcPr>
          <w:p w14:paraId="2147CBF5">
            <w:pPr>
              <w:rPr>
                <w:rFonts w:ascii="Arial"/>
                <w:sz w:val="21"/>
              </w:rPr>
            </w:pPr>
          </w:p>
        </w:tc>
        <w:tc>
          <w:tcPr>
            <w:tcW w:w="6193" w:type="dxa"/>
            <w:vAlign w:val="top"/>
          </w:tcPr>
          <w:p w14:paraId="248FF4A4">
            <w:pPr>
              <w:pStyle w:val="6"/>
              <w:spacing w:before="91" w:line="224" w:lineRule="auto"/>
              <w:ind w:left="121"/>
            </w:pPr>
            <w:r>
              <w:rPr>
                <w:spacing w:val="8"/>
              </w:rPr>
              <w:t>5、其他法律法规规章规定应履行的责任。</w:t>
            </w:r>
          </w:p>
        </w:tc>
        <w:tc>
          <w:tcPr>
            <w:tcW w:w="3768" w:type="dxa"/>
            <w:vMerge w:val="continue"/>
            <w:tcBorders>
              <w:top w:val="nil"/>
            </w:tcBorders>
            <w:vAlign w:val="top"/>
          </w:tcPr>
          <w:p w14:paraId="63CBC93A">
            <w:pPr>
              <w:rPr>
                <w:rFonts w:ascii="Arial"/>
                <w:sz w:val="21"/>
              </w:rPr>
            </w:pPr>
          </w:p>
        </w:tc>
      </w:tr>
      <w:tr w14:paraId="51BF2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E7FC761">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32040EA">
      <w:pPr>
        <w:rPr>
          <w:rFonts w:ascii="Arial"/>
          <w:sz w:val="21"/>
        </w:rPr>
      </w:pPr>
    </w:p>
    <w:p w14:paraId="3F2882D2">
      <w:pPr>
        <w:rPr>
          <w:rFonts w:ascii="Arial" w:hAnsi="Arial" w:eastAsia="Arial" w:cs="Arial"/>
          <w:sz w:val="21"/>
          <w:szCs w:val="21"/>
        </w:rPr>
        <w:sectPr>
          <w:footerReference r:id="rId11" w:type="default"/>
          <w:pgSz w:w="16839" w:h="11906"/>
          <w:pgMar w:top="1012" w:right="685" w:bottom="1213" w:left="895" w:header="0" w:footer="937" w:gutter="0"/>
          <w:cols w:space="720" w:num="1"/>
        </w:sectPr>
      </w:pPr>
    </w:p>
    <w:p w14:paraId="31633503">
      <w:pPr>
        <w:spacing w:before="22"/>
      </w:pPr>
    </w:p>
    <w:p w14:paraId="4BB967EE">
      <w:pPr>
        <w:spacing w:before="22"/>
      </w:pPr>
    </w:p>
    <w:p w14:paraId="5CD7BAC7">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817"/>
        <w:gridCol w:w="4682"/>
        <w:gridCol w:w="3769"/>
      </w:tblGrid>
      <w:tr w14:paraId="341469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510F895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C59512F">
            <w:pPr>
              <w:spacing w:before="33"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77B4E31">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817" w:type="dxa"/>
            <w:vAlign w:val="top"/>
          </w:tcPr>
          <w:p w14:paraId="23E2D01F">
            <w:pPr>
              <w:spacing w:before="189" w:line="228" w:lineRule="auto"/>
              <w:ind w:left="1996"/>
              <w:rPr>
                <w:rFonts w:ascii="宋体" w:hAnsi="宋体" w:eastAsia="宋体" w:cs="宋体"/>
                <w:sz w:val="20"/>
                <w:szCs w:val="20"/>
              </w:rPr>
            </w:pPr>
            <w:r>
              <w:rPr>
                <w:rFonts w:ascii="宋体" w:hAnsi="宋体" w:eastAsia="宋体" w:cs="宋体"/>
                <w:b/>
                <w:bCs/>
                <w:spacing w:val="5"/>
                <w:sz w:val="20"/>
                <w:szCs w:val="20"/>
              </w:rPr>
              <w:t>实施依据</w:t>
            </w:r>
          </w:p>
        </w:tc>
        <w:tc>
          <w:tcPr>
            <w:tcW w:w="4682" w:type="dxa"/>
            <w:vAlign w:val="top"/>
          </w:tcPr>
          <w:p w14:paraId="359B62C1">
            <w:pPr>
              <w:spacing w:before="190" w:line="228" w:lineRule="auto"/>
              <w:ind w:left="1352"/>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65FFB75A">
            <w:pPr>
              <w:spacing w:before="190"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61B8F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trPr>
        <w:tc>
          <w:tcPr>
            <w:tcW w:w="724" w:type="dxa"/>
            <w:vMerge w:val="restart"/>
            <w:tcBorders>
              <w:bottom w:val="nil"/>
            </w:tcBorders>
            <w:textDirection w:val="tbRlV"/>
            <w:vAlign w:val="top"/>
          </w:tcPr>
          <w:p w14:paraId="76AEF306">
            <w:pPr>
              <w:pStyle w:val="6"/>
              <w:spacing w:before="255" w:line="213" w:lineRule="auto"/>
              <w:ind w:left="2157"/>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0F6AC941">
            <w:pPr>
              <w:spacing w:line="252" w:lineRule="auto"/>
              <w:rPr>
                <w:rFonts w:ascii="Arial"/>
                <w:sz w:val="21"/>
              </w:rPr>
            </w:pPr>
          </w:p>
          <w:p w14:paraId="7372AD1C">
            <w:pPr>
              <w:spacing w:line="252" w:lineRule="auto"/>
              <w:rPr>
                <w:rFonts w:ascii="Arial"/>
                <w:sz w:val="21"/>
              </w:rPr>
            </w:pPr>
          </w:p>
          <w:p w14:paraId="360C8887">
            <w:pPr>
              <w:spacing w:line="252" w:lineRule="auto"/>
              <w:rPr>
                <w:rFonts w:ascii="Arial"/>
                <w:sz w:val="21"/>
              </w:rPr>
            </w:pPr>
          </w:p>
          <w:p w14:paraId="303E3BE4">
            <w:pPr>
              <w:spacing w:line="252" w:lineRule="auto"/>
              <w:rPr>
                <w:rFonts w:ascii="Arial"/>
                <w:sz w:val="21"/>
              </w:rPr>
            </w:pPr>
          </w:p>
          <w:p w14:paraId="307966A1">
            <w:pPr>
              <w:spacing w:line="253" w:lineRule="auto"/>
              <w:rPr>
                <w:rFonts w:ascii="Arial"/>
                <w:sz w:val="21"/>
              </w:rPr>
            </w:pPr>
          </w:p>
          <w:p w14:paraId="1230433C">
            <w:pPr>
              <w:spacing w:line="253" w:lineRule="auto"/>
              <w:rPr>
                <w:rFonts w:ascii="Arial"/>
                <w:sz w:val="21"/>
              </w:rPr>
            </w:pPr>
          </w:p>
          <w:p w14:paraId="6860AC07">
            <w:pPr>
              <w:spacing w:line="253" w:lineRule="auto"/>
              <w:rPr>
                <w:rFonts w:ascii="Arial"/>
                <w:sz w:val="21"/>
              </w:rPr>
            </w:pPr>
          </w:p>
          <w:p w14:paraId="141B3270">
            <w:pPr>
              <w:spacing w:line="253" w:lineRule="auto"/>
              <w:rPr>
                <w:rFonts w:ascii="Arial"/>
                <w:sz w:val="21"/>
              </w:rPr>
            </w:pPr>
          </w:p>
          <w:p w14:paraId="6D3C3940">
            <w:pPr>
              <w:pStyle w:val="6"/>
              <w:spacing w:before="62" w:line="311" w:lineRule="auto"/>
              <w:ind w:left="116" w:right="153" w:firstLine="4"/>
              <w:jc w:val="both"/>
            </w:pPr>
            <w:r>
              <w:rPr>
                <w:spacing w:val="5"/>
              </w:rPr>
              <w:t>8.查封、扣</w:t>
            </w:r>
            <w:r>
              <w:rPr>
                <w:spacing w:val="7"/>
              </w:rPr>
              <w:t>押与传销活动有关的物</w:t>
            </w:r>
            <w:r>
              <w:rPr>
                <w:spacing w:val="6"/>
              </w:rPr>
              <w:t>品和场所</w:t>
            </w:r>
          </w:p>
        </w:tc>
        <w:tc>
          <w:tcPr>
            <w:tcW w:w="4817" w:type="dxa"/>
            <w:vMerge w:val="restart"/>
            <w:tcBorders>
              <w:bottom w:val="nil"/>
            </w:tcBorders>
            <w:vAlign w:val="top"/>
          </w:tcPr>
          <w:p w14:paraId="13F00391">
            <w:pPr>
              <w:spacing w:line="297" w:lineRule="auto"/>
              <w:rPr>
                <w:rFonts w:ascii="Arial"/>
                <w:sz w:val="21"/>
              </w:rPr>
            </w:pPr>
          </w:p>
          <w:p w14:paraId="7951FFE5">
            <w:pPr>
              <w:spacing w:line="298" w:lineRule="auto"/>
              <w:rPr>
                <w:rFonts w:ascii="Arial"/>
                <w:sz w:val="21"/>
              </w:rPr>
            </w:pPr>
          </w:p>
          <w:p w14:paraId="4B3C6221">
            <w:pPr>
              <w:pStyle w:val="6"/>
              <w:spacing w:before="62" w:line="310" w:lineRule="auto"/>
              <w:ind w:left="119" w:right="105" w:hanging="11"/>
            </w:pPr>
            <w:r>
              <w:t>《禁止传销条例》《国务院第</w:t>
            </w:r>
            <w:r>
              <w:rPr>
                <w:spacing w:val="-29"/>
              </w:rPr>
              <w:t xml:space="preserve"> </w:t>
            </w:r>
            <w:r>
              <w:t>444</w:t>
            </w:r>
            <w:r>
              <w:rPr>
                <w:spacing w:val="-29"/>
              </w:rPr>
              <w:t xml:space="preserve"> </w:t>
            </w:r>
            <w:r>
              <w:t>号文》第十四条  县</w:t>
            </w:r>
            <w:r>
              <w:rPr>
                <w:spacing w:val="9"/>
              </w:rPr>
              <w:t>级以上工商行政管理部门对涉嫌传销行为进行查处</w:t>
            </w:r>
          </w:p>
          <w:p w14:paraId="4B9FF66A">
            <w:pPr>
              <w:pStyle w:val="6"/>
              <w:spacing w:line="310" w:lineRule="auto"/>
              <w:ind w:left="111" w:right="11" w:firstLine="18"/>
            </w:pPr>
            <w:r>
              <w:t>时，可以采取下列措施：</w:t>
            </w:r>
            <w:r>
              <w:rPr>
                <w:spacing w:val="-45"/>
              </w:rPr>
              <w:t xml:space="preserve"> </w:t>
            </w:r>
            <w:r>
              <w:t>…（</w:t>
            </w:r>
            <w:r>
              <w:rPr>
                <w:spacing w:val="-36"/>
              </w:rPr>
              <w:t xml:space="preserve"> </w:t>
            </w:r>
            <w:r>
              <w:t>四）查阅、复制、查封、</w:t>
            </w:r>
            <w:r>
              <w:rPr>
                <w:spacing w:val="6"/>
              </w:rPr>
              <w:t>扣押涉嫌传销的有关合同、票据、账簿等资料</w:t>
            </w:r>
            <w:r>
              <w:rPr>
                <w:spacing w:val="-24"/>
              </w:rPr>
              <w:t>；（</w:t>
            </w:r>
            <w:r>
              <w:rPr>
                <w:spacing w:val="-51"/>
              </w:rPr>
              <w:t xml:space="preserve"> </w:t>
            </w:r>
            <w:r>
              <w:rPr>
                <w:spacing w:val="6"/>
              </w:rPr>
              <w:t>五）</w:t>
            </w:r>
            <w:r>
              <w:rPr>
                <w:spacing w:val="5"/>
              </w:rPr>
              <w:t>查封、扣押涉嫌专门用于传销的产品（商品）、工具、</w:t>
            </w:r>
            <w:r>
              <w:rPr>
                <w:spacing w:val="8"/>
              </w:rPr>
              <w:t>设备、原材料等财物</w:t>
            </w:r>
            <w:r>
              <w:rPr>
                <w:spacing w:val="2"/>
              </w:rPr>
              <w:t>；（</w:t>
            </w:r>
            <w:r>
              <w:rPr>
                <w:spacing w:val="-48"/>
              </w:rPr>
              <w:t xml:space="preserve"> </w:t>
            </w:r>
            <w:r>
              <w:rPr>
                <w:spacing w:val="8"/>
              </w:rPr>
              <w:t>六）查封涉嫌传销的经营场</w:t>
            </w:r>
            <w:r>
              <w:rPr>
                <w:spacing w:val="7"/>
              </w:rPr>
              <w:t>所；</w:t>
            </w:r>
            <w:r>
              <w:rPr>
                <w:spacing w:val="-37"/>
              </w:rPr>
              <w:t xml:space="preserve"> </w:t>
            </w:r>
            <w:r>
              <w:rPr>
                <w:spacing w:val="7"/>
              </w:rPr>
              <w:t>…工商行政管理部门采取前款规定的措施，应当向县级以上工商行政管理部门主要负责人书面或者</w:t>
            </w:r>
            <w:r>
              <w:rPr>
                <w:spacing w:val="-37"/>
              </w:rPr>
              <w:t xml:space="preserve"> </w:t>
            </w:r>
            <w:r>
              <w:rPr>
                <w:spacing w:val="7"/>
              </w:rPr>
              <w:t>口</w:t>
            </w:r>
            <w:r>
              <w:rPr>
                <w:spacing w:val="9"/>
              </w:rPr>
              <w:t>头报告并经批准。遇有紧急情况需要当场采取前款规定措施的，应当在事后立即报告并补办相关手续；其</w:t>
            </w:r>
            <w:r>
              <w:rPr>
                <w:spacing w:val="8"/>
              </w:rPr>
              <w:t>中，实施前款规定的查封、扣押，</w:t>
            </w:r>
            <w:r>
              <w:rPr>
                <w:spacing w:val="-45"/>
              </w:rPr>
              <w:t xml:space="preserve"> </w:t>
            </w:r>
            <w:r>
              <w:rPr>
                <w:spacing w:val="8"/>
              </w:rPr>
              <w:t>以及第（七）项、</w:t>
            </w:r>
            <w:r>
              <w:rPr>
                <w:spacing w:val="7"/>
              </w:rPr>
              <w:t>第（</w:t>
            </w:r>
            <w:r>
              <w:rPr>
                <w:spacing w:val="-37"/>
              </w:rPr>
              <w:t xml:space="preserve"> </w:t>
            </w:r>
            <w:r>
              <w:rPr>
                <w:spacing w:val="7"/>
              </w:rPr>
              <w:t>八）项规定的措施，应当事先经县级以上工商行</w:t>
            </w:r>
            <w:r>
              <w:rPr>
                <w:spacing w:val="8"/>
              </w:rPr>
              <w:t>政管理部门主要负责人书面批准。</w:t>
            </w:r>
          </w:p>
        </w:tc>
        <w:tc>
          <w:tcPr>
            <w:tcW w:w="4682" w:type="dxa"/>
            <w:vAlign w:val="top"/>
          </w:tcPr>
          <w:p w14:paraId="2AB65F2E">
            <w:pPr>
              <w:spacing w:line="314" w:lineRule="auto"/>
              <w:rPr>
                <w:rFonts w:ascii="Arial"/>
                <w:sz w:val="21"/>
              </w:rPr>
            </w:pPr>
          </w:p>
          <w:p w14:paraId="528CD4BF">
            <w:pPr>
              <w:pStyle w:val="6"/>
              <w:spacing w:before="62" w:line="224" w:lineRule="auto"/>
              <w:ind w:left="126"/>
            </w:pPr>
            <w:r>
              <w:rPr>
                <w:spacing w:val="8"/>
              </w:rPr>
              <w:t>1、核实违法事实，报行政机关负责人批准。</w:t>
            </w:r>
          </w:p>
        </w:tc>
        <w:tc>
          <w:tcPr>
            <w:tcW w:w="3769" w:type="dxa"/>
            <w:vMerge w:val="restart"/>
            <w:tcBorders>
              <w:bottom w:val="nil"/>
            </w:tcBorders>
            <w:vAlign w:val="top"/>
          </w:tcPr>
          <w:p w14:paraId="3826BBF2">
            <w:pPr>
              <w:spacing w:line="246" w:lineRule="auto"/>
              <w:rPr>
                <w:rFonts w:ascii="Arial"/>
                <w:sz w:val="21"/>
              </w:rPr>
            </w:pPr>
          </w:p>
          <w:p w14:paraId="1ED57AEA">
            <w:pPr>
              <w:spacing w:line="246" w:lineRule="auto"/>
              <w:rPr>
                <w:rFonts w:ascii="Arial"/>
                <w:sz w:val="21"/>
              </w:rPr>
            </w:pPr>
          </w:p>
          <w:p w14:paraId="619BE937">
            <w:pPr>
              <w:spacing w:line="246" w:lineRule="auto"/>
              <w:rPr>
                <w:rFonts w:ascii="Arial"/>
                <w:sz w:val="21"/>
              </w:rPr>
            </w:pPr>
          </w:p>
          <w:p w14:paraId="5CF59992">
            <w:pPr>
              <w:spacing w:line="246" w:lineRule="auto"/>
              <w:rPr>
                <w:rFonts w:ascii="Arial"/>
                <w:sz w:val="21"/>
              </w:rPr>
            </w:pPr>
          </w:p>
          <w:p w14:paraId="50895EFA">
            <w:pPr>
              <w:spacing w:line="246" w:lineRule="auto"/>
              <w:rPr>
                <w:rFonts w:ascii="Arial"/>
                <w:sz w:val="21"/>
              </w:rPr>
            </w:pPr>
          </w:p>
          <w:p w14:paraId="50B8630C">
            <w:pPr>
              <w:spacing w:line="247" w:lineRule="auto"/>
              <w:rPr>
                <w:rFonts w:ascii="Arial"/>
                <w:sz w:val="21"/>
              </w:rPr>
            </w:pPr>
          </w:p>
          <w:p w14:paraId="1323D924">
            <w:pPr>
              <w:spacing w:line="247" w:lineRule="auto"/>
              <w:rPr>
                <w:rFonts w:ascii="Arial"/>
                <w:sz w:val="21"/>
              </w:rPr>
            </w:pPr>
          </w:p>
          <w:p w14:paraId="3D8A6BC6">
            <w:pPr>
              <w:spacing w:line="247" w:lineRule="auto"/>
              <w:rPr>
                <w:rFonts w:ascii="Arial"/>
                <w:sz w:val="21"/>
              </w:rPr>
            </w:pPr>
          </w:p>
          <w:p w14:paraId="6C7BB4C7">
            <w:pPr>
              <w:spacing w:line="247" w:lineRule="auto"/>
              <w:rPr>
                <w:rFonts w:ascii="Arial"/>
                <w:sz w:val="21"/>
              </w:rPr>
            </w:pPr>
          </w:p>
          <w:p w14:paraId="7B23A46C">
            <w:pPr>
              <w:pStyle w:val="6"/>
              <w:spacing w:before="65" w:line="259" w:lineRule="auto"/>
              <w:ind w:left="114"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4C8E4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24" w:type="dxa"/>
            <w:vMerge w:val="continue"/>
            <w:tcBorders>
              <w:top w:val="nil"/>
              <w:bottom w:val="nil"/>
            </w:tcBorders>
            <w:textDirection w:val="tbRlV"/>
            <w:vAlign w:val="top"/>
          </w:tcPr>
          <w:p w14:paraId="75F16241">
            <w:pPr>
              <w:rPr>
                <w:rFonts w:ascii="Arial"/>
                <w:sz w:val="21"/>
              </w:rPr>
            </w:pPr>
          </w:p>
        </w:tc>
        <w:tc>
          <w:tcPr>
            <w:tcW w:w="1260" w:type="dxa"/>
            <w:vMerge w:val="continue"/>
            <w:tcBorders>
              <w:top w:val="nil"/>
              <w:bottom w:val="nil"/>
            </w:tcBorders>
            <w:vAlign w:val="top"/>
          </w:tcPr>
          <w:p w14:paraId="10CB5D25">
            <w:pPr>
              <w:rPr>
                <w:rFonts w:ascii="Arial"/>
                <w:sz w:val="21"/>
              </w:rPr>
            </w:pPr>
          </w:p>
        </w:tc>
        <w:tc>
          <w:tcPr>
            <w:tcW w:w="4817" w:type="dxa"/>
            <w:vMerge w:val="continue"/>
            <w:tcBorders>
              <w:top w:val="nil"/>
              <w:bottom w:val="nil"/>
            </w:tcBorders>
            <w:vAlign w:val="top"/>
          </w:tcPr>
          <w:p w14:paraId="637D6C3A">
            <w:pPr>
              <w:rPr>
                <w:rFonts w:ascii="Arial"/>
                <w:sz w:val="21"/>
              </w:rPr>
            </w:pPr>
          </w:p>
        </w:tc>
        <w:tc>
          <w:tcPr>
            <w:tcW w:w="4682" w:type="dxa"/>
            <w:vAlign w:val="top"/>
          </w:tcPr>
          <w:p w14:paraId="5399C8CD">
            <w:pPr>
              <w:spacing w:line="260" w:lineRule="auto"/>
              <w:rPr>
                <w:rFonts w:ascii="Arial"/>
                <w:sz w:val="21"/>
              </w:rPr>
            </w:pPr>
          </w:p>
          <w:p w14:paraId="4AFBD38E">
            <w:pPr>
              <w:pStyle w:val="6"/>
              <w:spacing w:before="62" w:line="224" w:lineRule="auto"/>
              <w:ind w:left="121"/>
            </w:pPr>
            <w:r>
              <w:rPr>
                <w:spacing w:val="7"/>
              </w:rPr>
              <w:t>2、依法作出处理决定。</w:t>
            </w:r>
          </w:p>
        </w:tc>
        <w:tc>
          <w:tcPr>
            <w:tcW w:w="3769" w:type="dxa"/>
            <w:vMerge w:val="continue"/>
            <w:tcBorders>
              <w:top w:val="nil"/>
              <w:bottom w:val="nil"/>
            </w:tcBorders>
            <w:vAlign w:val="top"/>
          </w:tcPr>
          <w:p w14:paraId="4EB670D5">
            <w:pPr>
              <w:rPr>
                <w:rFonts w:ascii="Arial"/>
                <w:sz w:val="21"/>
              </w:rPr>
            </w:pPr>
          </w:p>
        </w:tc>
      </w:tr>
      <w:tr w14:paraId="6FC8C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7" w:hRule="atLeast"/>
        </w:trPr>
        <w:tc>
          <w:tcPr>
            <w:tcW w:w="724" w:type="dxa"/>
            <w:vMerge w:val="continue"/>
            <w:tcBorders>
              <w:top w:val="nil"/>
              <w:bottom w:val="nil"/>
            </w:tcBorders>
            <w:textDirection w:val="tbRlV"/>
            <w:vAlign w:val="top"/>
          </w:tcPr>
          <w:p w14:paraId="65030EB7">
            <w:pPr>
              <w:rPr>
                <w:rFonts w:ascii="Arial"/>
                <w:sz w:val="21"/>
              </w:rPr>
            </w:pPr>
          </w:p>
        </w:tc>
        <w:tc>
          <w:tcPr>
            <w:tcW w:w="1260" w:type="dxa"/>
            <w:vMerge w:val="continue"/>
            <w:tcBorders>
              <w:top w:val="nil"/>
              <w:bottom w:val="nil"/>
            </w:tcBorders>
            <w:vAlign w:val="top"/>
          </w:tcPr>
          <w:p w14:paraId="2A135086">
            <w:pPr>
              <w:rPr>
                <w:rFonts w:ascii="Arial"/>
                <w:sz w:val="21"/>
              </w:rPr>
            </w:pPr>
          </w:p>
        </w:tc>
        <w:tc>
          <w:tcPr>
            <w:tcW w:w="4817" w:type="dxa"/>
            <w:vMerge w:val="continue"/>
            <w:tcBorders>
              <w:top w:val="nil"/>
              <w:bottom w:val="nil"/>
            </w:tcBorders>
            <w:vAlign w:val="top"/>
          </w:tcPr>
          <w:p w14:paraId="180C3946">
            <w:pPr>
              <w:rPr>
                <w:rFonts w:ascii="Arial"/>
                <w:sz w:val="21"/>
              </w:rPr>
            </w:pPr>
          </w:p>
        </w:tc>
        <w:tc>
          <w:tcPr>
            <w:tcW w:w="4682" w:type="dxa"/>
            <w:vAlign w:val="top"/>
          </w:tcPr>
          <w:p w14:paraId="2EE6BEAD">
            <w:pPr>
              <w:pStyle w:val="6"/>
              <w:spacing w:before="182" w:line="309" w:lineRule="auto"/>
              <w:ind w:left="116" w:right="104" w:firstLine="13"/>
              <w:jc w:val="both"/>
            </w:pPr>
            <w:r>
              <w:rPr>
                <w:spacing w:val="7"/>
              </w:rPr>
              <w:t>3、制作笔录，告知当事人采取强制措施的理由、依</w:t>
            </w:r>
            <w:r>
              <w:rPr>
                <w:spacing w:val="9"/>
              </w:rPr>
              <w:t>据及当事人依法享有的权利，并当场交付查封、扣</w:t>
            </w:r>
            <w:r>
              <w:rPr>
                <w:spacing w:val="8"/>
              </w:rPr>
              <w:t>押决定书和清单、实施查封、扣押。</w:t>
            </w:r>
          </w:p>
        </w:tc>
        <w:tc>
          <w:tcPr>
            <w:tcW w:w="3769" w:type="dxa"/>
            <w:vMerge w:val="continue"/>
            <w:tcBorders>
              <w:top w:val="nil"/>
              <w:bottom w:val="nil"/>
            </w:tcBorders>
            <w:vAlign w:val="top"/>
          </w:tcPr>
          <w:p w14:paraId="4AEA7B59">
            <w:pPr>
              <w:rPr>
                <w:rFonts w:ascii="Arial"/>
                <w:sz w:val="21"/>
              </w:rPr>
            </w:pPr>
          </w:p>
        </w:tc>
      </w:tr>
      <w:tr w14:paraId="2E535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6" w:hRule="atLeast"/>
        </w:trPr>
        <w:tc>
          <w:tcPr>
            <w:tcW w:w="724" w:type="dxa"/>
            <w:vMerge w:val="continue"/>
            <w:tcBorders>
              <w:top w:val="nil"/>
              <w:bottom w:val="nil"/>
            </w:tcBorders>
            <w:textDirection w:val="tbRlV"/>
            <w:vAlign w:val="top"/>
          </w:tcPr>
          <w:p w14:paraId="690A780F">
            <w:pPr>
              <w:rPr>
                <w:rFonts w:ascii="Arial"/>
                <w:sz w:val="21"/>
              </w:rPr>
            </w:pPr>
          </w:p>
        </w:tc>
        <w:tc>
          <w:tcPr>
            <w:tcW w:w="1260" w:type="dxa"/>
            <w:vMerge w:val="continue"/>
            <w:tcBorders>
              <w:top w:val="nil"/>
              <w:bottom w:val="nil"/>
            </w:tcBorders>
            <w:vAlign w:val="top"/>
          </w:tcPr>
          <w:p w14:paraId="0D686118">
            <w:pPr>
              <w:rPr>
                <w:rFonts w:ascii="Arial"/>
                <w:sz w:val="21"/>
              </w:rPr>
            </w:pPr>
          </w:p>
        </w:tc>
        <w:tc>
          <w:tcPr>
            <w:tcW w:w="4817" w:type="dxa"/>
            <w:vMerge w:val="continue"/>
            <w:tcBorders>
              <w:top w:val="nil"/>
              <w:bottom w:val="nil"/>
            </w:tcBorders>
            <w:vAlign w:val="top"/>
          </w:tcPr>
          <w:p w14:paraId="213E5EF9">
            <w:pPr>
              <w:rPr>
                <w:rFonts w:ascii="Arial"/>
                <w:sz w:val="21"/>
              </w:rPr>
            </w:pPr>
          </w:p>
        </w:tc>
        <w:tc>
          <w:tcPr>
            <w:tcW w:w="4682" w:type="dxa"/>
            <w:vAlign w:val="top"/>
          </w:tcPr>
          <w:p w14:paraId="0FC76D7E">
            <w:pPr>
              <w:pStyle w:val="6"/>
              <w:spacing w:before="64" w:line="309" w:lineRule="auto"/>
              <w:ind w:left="116" w:right="102" w:firstLine="4"/>
            </w:pPr>
            <w:r>
              <w:rPr>
                <w:spacing w:val="7"/>
              </w:rPr>
              <w:t>4、行政机关采取查封、扣押措施后，应当及时查清</w:t>
            </w:r>
            <w:r>
              <w:rPr>
                <w:spacing w:val="9"/>
              </w:rPr>
              <w:t>事实，在《中华人民共和国行政强制法》第二十五条规定的期限内作出处理决定。对违法事实清楚，</w:t>
            </w:r>
          </w:p>
          <w:p w14:paraId="28E0EAB1">
            <w:pPr>
              <w:pStyle w:val="6"/>
              <w:spacing w:before="1" w:line="310" w:lineRule="auto"/>
              <w:ind w:left="117" w:right="172" w:hanging="7"/>
            </w:pPr>
            <w:r>
              <w:rPr>
                <w:spacing w:val="9"/>
              </w:rPr>
              <w:t>依法应当没收的非法财物予以没收；法律、行政法规规定应当销毁的，依法销毁；应当解除查封、扣</w:t>
            </w:r>
            <w:r>
              <w:rPr>
                <w:spacing w:val="8"/>
              </w:rPr>
              <w:t>押的，作出解除查封、扣押的决定。</w:t>
            </w:r>
          </w:p>
        </w:tc>
        <w:tc>
          <w:tcPr>
            <w:tcW w:w="3769" w:type="dxa"/>
            <w:vMerge w:val="continue"/>
            <w:tcBorders>
              <w:top w:val="nil"/>
              <w:bottom w:val="nil"/>
            </w:tcBorders>
            <w:vAlign w:val="top"/>
          </w:tcPr>
          <w:p w14:paraId="4619031A">
            <w:pPr>
              <w:rPr>
                <w:rFonts w:ascii="Arial"/>
                <w:sz w:val="21"/>
              </w:rPr>
            </w:pPr>
          </w:p>
        </w:tc>
      </w:tr>
      <w:tr w14:paraId="203A8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3955871E">
            <w:pPr>
              <w:rPr>
                <w:rFonts w:ascii="Arial"/>
                <w:sz w:val="21"/>
              </w:rPr>
            </w:pPr>
          </w:p>
        </w:tc>
        <w:tc>
          <w:tcPr>
            <w:tcW w:w="1260" w:type="dxa"/>
            <w:vMerge w:val="continue"/>
            <w:tcBorders>
              <w:top w:val="nil"/>
            </w:tcBorders>
            <w:vAlign w:val="top"/>
          </w:tcPr>
          <w:p w14:paraId="052E1EEC">
            <w:pPr>
              <w:rPr>
                <w:rFonts w:ascii="Arial"/>
                <w:sz w:val="21"/>
              </w:rPr>
            </w:pPr>
          </w:p>
        </w:tc>
        <w:tc>
          <w:tcPr>
            <w:tcW w:w="4817" w:type="dxa"/>
            <w:vMerge w:val="continue"/>
            <w:tcBorders>
              <w:top w:val="nil"/>
            </w:tcBorders>
            <w:vAlign w:val="top"/>
          </w:tcPr>
          <w:p w14:paraId="16C5F254">
            <w:pPr>
              <w:rPr>
                <w:rFonts w:ascii="Arial"/>
                <w:sz w:val="21"/>
              </w:rPr>
            </w:pPr>
          </w:p>
        </w:tc>
        <w:tc>
          <w:tcPr>
            <w:tcW w:w="4682" w:type="dxa"/>
            <w:vAlign w:val="top"/>
          </w:tcPr>
          <w:p w14:paraId="1501A155">
            <w:pPr>
              <w:pStyle w:val="6"/>
              <w:spacing w:before="90" w:line="224" w:lineRule="auto"/>
              <w:ind w:left="123"/>
            </w:pPr>
            <w:r>
              <w:rPr>
                <w:spacing w:val="8"/>
              </w:rPr>
              <w:t>5、其他法律法规规章规定应履行的责任。</w:t>
            </w:r>
          </w:p>
        </w:tc>
        <w:tc>
          <w:tcPr>
            <w:tcW w:w="3769" w:type="dxa"/>
            <w:vMerge w:val="continue"/>
            <w:tcBorders>
              <w:top w:val="nil"/>
            </w:tcBorders>
            <w:vAlign w:val="top"/>
          </w:tcPr>
          <w:p w14:paraId="3815C864">
            <w:pPr>
              <w:rPr>
                <w:rFonts w:ascii="Arial"/>
                <w:sz w:val="21"/>
              </w:rPr>
            </w:pPr>
          </w:p>
        </w:tc>
      </w:tr>
      <w:tr w14:paraId="19FEE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493B9C9F">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61FCD128">
      <w:pPr>
        <w:rPr>
          <w:rFonts w:ascii="Arial"/>
          <w:sz w:val="21"/>
        </w:rPr>
      </w:pPr>
    </w:p>
    <w:p w14:paraId="7B2D9579">
      <w:pPr>
        <w:rPr>
          <w:rFonts w:ascii="Arial" w:hAnsi="Arial" w:eastAsia="Arial" w:cs="Arial"/>
          <w:sz w:val="21"/>
          <w:szCs w:val="21"/>
        </w:rPr>
        <w:sectPr>
          <w:footerReference r:id="rId12" w:type="default"/>
          <w:pgSz w:w="16839" w:h="11906"/>
          <w:pgMar w:top="1012" w:right="685" w:bottom="1213" w:left="895" w:header="0" w:footer="938" w:gutter="0"/>
          <w:cols w:space="720" w:num="1"/>
        </w:sectPr>
      </w:pPr>
    </w:p>
    <w:p w14:paraId="4E2F2658">
      <w:pPr>
        <w:spacing w:before="36"/>
      </w:pPr>
    </w:p>
    <w:p w14:paraId="2A850628">
      <w:pPr>
        <w:spacing w:before="36"/>
      </w:pPr>
    </w:p>
    <w:p w14:paraId="2A98F89C">
      <w:pPr>
        <w:spacing w:before="36"/>
      </w:pPr>
    </w:p>
    <w:p w14:paraId="3EB3E8BD">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556DE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662793D6">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5745B81">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3CF574AA">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38013726">
            <w:pPr>
              <w:spacing w:before="190"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77DF8BEC">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7A270997">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C4571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6" w:hRule="atLeast"/>
        </w:trPr>
        <w:tc>
          <w:tcPr>
            <w:tcW w:w="724" w:type="dxa"/>
            <w:vMerge w:val="restart"/>
            <w:tcBorders>
              <w:bottom w:val="nil"/>
            </w:tcBorders>
            <w:textDirection w:val="tbRlV"/>
            <w:vAlign w:val="top"/>
          </w:tcPr>
          <w:p w14:paraId="1AA96A83">
            <w:pPr>
              <w:pStyle w:val="6"/>
              <w:spacing w:before="255" w:line="213" w:lineRule="auto"/>
              <w:ind w:left="190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5D9247F2">
            <w:pPr>
              <w:spacing w:line="270" w:lineRule="auto"/>
              <w:rPr>
                <w:rFonts w:ascii="Arial"/>
                <w:sz w:val="21"/>
              </w:rPr>
            </w:pPr>
          </w:p>
          <w:p w14:paraId="5CD586F1">
            <w:pPr>
              <w:spacing w:line="270" w:lineRule="auto"/>
              <w:rPr>
                <w:rFonts w:ascii="Arial"/>
                <w:sz w:val="21"/>
              </w:rPr>
            </w:pPr>
          </w:p>
          <w:p w14:paraId="51CAD7B8">
            <w:pPr>
              <w:spacing w:line="270" w:lineRule="auto"/>
              <w:rPr>
                <w:rFonts w:ascii="Arial"/>
                <w:sz w:val="21"/>
              </w:rPr>
            </w:pPr>
          </w:p>
          <w:p w14:paraId="2F58D92A">
            <w:pPr>
              <w:spacing w:line="270" w:lineRule="auto"/>
              <w:rPr>
                <w:rFonts w:ascii="Arial"/>
                <w:sz w:val="21"/>
              </w:rPr>
            </w:pPr>
          </w:p>
          <w:p w14:paraId="687F8E2F">
            <w:pPr>
              <w:spacing w:line="270" w:lineRule="auto"/>
              <w:rPr>
                <w:rFonts w:ascii="Arial"/>
                <w:sz w:val="21"/>
              </w:rPr>
            </w:pPr>
          </w:p>
          <w:p w14:paraId="5BC8BB07">
            <w:pPr>
              <w:spacing w:line="270" w:lineRule="auto"/>
              <w:rPr>
                <w:rFonts w:ascii="Arial"/>
                <w:sz w:val="21"/>
              </w:rPr>
            </w:pPr>
          </w:p>
          <w:p w14:paraId="71699AD2">
            <w:pPr>
              <w:pStyle w:val="6"/>
              <w:spacing w:before="62" w:line="312" w:lineRule="auto"/>
              <w:ind w:left="113" w:right="153" w:firstLine="7"/>
              <w:jc w:val="both"/>
            </w:pPr>
            <w:r>
              <w:rPr>
                <w:spacing w:val="5"/>
              </w:rPr>
              <w:t>9.查封、扣</w:t>
            </w:r>
            <w:r>
              <w:rPr>
                <w:spacing w:val="7"/>
              </w:rPr>
              <w:t>押涉嫌非法生产军服或者军服仿制</w:t>
            </w:r>
            <w:r>
              <w:t>品</w:t>
            </w:r>
          </w:p>
        </w:tc>
        <w:tc>
          <w:tcPr>
            <w:tcW w:w="3307" w:type="dxa"/>
            <w:vMerge w:val="restart"/>
            <w:tcBorders>
              <w:bottom w:val="nil"/>
            </w:tcBorders>
            <w:vAlign w:val="top"/>
          </w:tcPr>
          <w:p w14:paraId="4638591B">
            <w:pPr>
              <w:pStyle w:val="6"/>
              <w:spacing w:before="256" w:line="309" w:lineRule="auto"/>
              <w:ind w:left="113" w:right="56" w:hanging="5"/>
            </w:pPr>
            <w:r>
              <w:rPr>
                <w:spacing w:val="4"/>
              </w:rPr>
              <w:t>《军服管理条例》（</w:t>
            </w:r>
            <w:r>
              <w:rPr>
                <w:spacing w:val="-40"/>
              </w:rPr>
              <w:t xml:space="preserve"> </w:t>
            </w:r>
            <w:r>
              <w:rPr>
                <w:spacing w:val="4"/>
              </w:rPr>
              <w:t>国务院第</w:t>
            </w:r>
            <w:r>
              <w:rPr>
                <w:spacing w:val="-27"/>
              </w:rPr>
              <w:t xml:space="preserve"> </w:t>
            </w:r>
            <w:r>
              <w:rPr>
                <w:spacing w:val="4"/>
              </w:rPr>
              <w:t>547</w:t>
            </w:r>
            <w:r>
              <w:t xml:space="preserve"> </w:t>
            </w:r>
            <w:r>
              <w:rPr>
                <w:spacing w:val="5"/>
              </w:rPr>
              <w:t>号文）第十二条  违反本条例规定，</w:t>
            </w:r>
            <w:r>
              <w:rPr>
                <w:spacing w:val="6"/>
              </w:rPr>
              <w:t>有下列情形之一的，</w:t>
            </w:r>
            <w:r>
              <w:rPr>
                <w:spacing w:val="-47"/>
              </w:rPr>
              <w:t xml:space="preserve"> </w:t>
            </w:r>
            <w:r>
              <w:rPr>
                <w:spacing w:val="6"/>
              </w:rPr>
              <w:t>由工商行政管</w:t>
            </w:r>
            <w:r>
              <w:rPr>
                <w:spacing w:val="8"/>
              </w:rPr>
              <w:t>理部门没收违法物品和违法所得，</w:t>
            </w:r>
          </w:p>
          <w:p w14:paraId="7771C376">
            <w:pPr>
              <w:pStyle w:val="6"/>
              <w:spacing w:before="1" w:line="310" w:lineRule="auto"/>
              <w:ind w:left="111" w:right="156" w:firstLine="7"/>
            </w:pPr>
            <w:r>
              <w:rPr>
                <w:spacing w:val="-1"/>
              </w:rPr>
              <w:t>处</w:t>
            </w:r>
            <w:r>
              <w:rPr>
                <w:spacing w:val="-19"/>
              </w:rPr>
              <w:t xml:space="preserve"> </w:t>
            </w:r>
            <w:r>
              <w:rPr>
                <w:spacing w:val="-1"/>
              </w:rPr>
              <w:t>1</w:t>
            </w:r>
            <w:r>
              <w:rPr>
                <w:spacing w:val="-24"/>
              </w:rPr>
              <w:t xml:space="preserve"> </w:t>
            </w:r>
            <w:r>
              <w:rPr>
                <w:spacing w:val="-1"/>
              </w:rPr>
              <w:t>万元以上</w:t>
            </w:r>
            <w:r>
              <w:rPr>
                <w:spacing w:val="-24"/>
              </w:rPr>
              <w:t xml:space="preserve"> </w:t>
            </w:r>
            <w:r>
              <w:rPr>
                <w:spacing w:val="-1"/>
              </w:rPr>
              <w:t>10</w:t>
            </w:r>
            <w:r>
              <w:rPr>
                <w:spacing w:val="-27"/>
              </w:rPr>
              <w:t xml:space="preserve"> </w:t>
            </w:r>
            <w:r>
              <w:rPr>
                <w:spacing w:val="-1"/>
              </w:rPr>
              <w:t>万元以下的罚款；</w:t>
            </w:r>
            <w:r>
              <w:rPr>
                <w:spacing w:val="6"/>
              </w:rPr>
              <w:t>违法经营数额巨大的，</w:t>
            </w:r>
            <w:r>
              <w:rPr>
                <w:spacing w:val="-45"/>
              </w:rPr>
              <w:t xml:space="preserve"> </w:t>
            </w:r>
            <w:r>
              <w:rPr>
                <w:spacing w:val="6"/>
              </w:rPr>
              <w:t>吊销营业执</w:t>
            </w:r>
            <w:r>
              <w:rPr>
                <w:spacing w:val="9"/>
              </w:rPr>
              <w:t>照；构成犯罪的，依法追究刑事责</w:t>
            </w:r>
            <w:r>
              <w:rPr>
                <w:spacing w:val="3"/>
              </w:rPr>
              <w:t>任</w:t>
            </w:r>
            <w:r>
              <w:rPr>
                <w:spacing w:val="-15"/>
              </w:rPr>
              <w:t>：（</w:t>
            </w:r>
            <w:r>
              <w:rPr>
                <w:spacing w:val="-18"/>
              </w:rPr>
              <w:t xml:space="preserve"> </w:t>
            </w:r>
            <w:r>
              <w:rPr>
                <w:spacing w:val="3"/>
              </w:rPr>
              <w:t>一</w:t>
            </w:r>
            <w:r>
              <w:rPr>
                <w:spacing w:val="-41"/>
              </w:rPr>
              <w:t xml:space="preserve"> </w:t>
            </w:r>
            <w:r>
              <w:rPr>
                <w:spacing w:val="3"/>
              </w:rPr>
              <w:t>）非法生产军服、军服专用材料的</w:t>
            </w:r>
            <w:r>
              <w:rPr>
                <w:spacing w:val="-14"/>
              </w:rPr>
              <w:t>；（</w:t>
            </w:r>
            <w:r>
              <w:rPr>
                <w:spacing w:val="-20"/>
              </w:rPr>
              <w:t xml:space="preserve"> </w:t>
            </w:r>
            <w:r>
              <w:rPr>
                <w:spacing w:val="3"/>
              </w:rPr>
              <w:t>二</w:t>
            </w:r>
            <w:r>
              <w:rPr>
                <w:spacing w:val="-41"/>
              </w:rPr>
              <w:t xml:space="preserve"> </w:t>
            </w:r>
            <w:r>
              <w:rPr>
                <w:spacing w:val="3"/>
              </w:rPr>
              <w:t>）买卖军服、军服专用材料的</w:t>
            </w:r>
            <w:r>
              <w:rPr>
                <w:spacing w:val="-3"/>
              </w:rPr>
              <w:t>；（</w:t>
            </w:r>
            <w:r>
              <w:rPr>
                <w:spacing w:val="-45"/>
              </w:rPr>
              <w:t xml:space="preserve"> </w:t>
            </w:r>
            <w:r>
              <w:rPr>
                <w:spacing w:val="3"/>
              </w:rPr>
              <w:t>三</w:t>
            </w:r>
            <w:r>
              <w:rPr>
                <w:spacing w:val="-38"/>
              </w:rPr>
              <w:t xml:space="preserve"> </w:t>
            </w:r>
            <w:r>
              <w:rPr>
                <w:spacing w:val="3"/>
              </w:rPr>
              <w:t>）生产、销售军</w:t>
            </w:r>
            <w:r>
              <w:rPr>
                <w:spacing w:val="9"/>
              </w:rPr>
              <w:t>服仿制品的。工商行政管理部门发现涉嫌非法生产、销售军服或者军服仿制品的行为时，可以查封、扣</w:t>
            </w:r>
            <w:r>
              <w:rPr>
                <w:spacing w:val="6"/>
              </w:rPr>
              <w:t>押涉嫌物品。</w:t>
            </w:r>
          </w:p>
        </w:tc>
        <w:tc>
          <w:tcPr>
            <w:tcW w:w="6193" w:type="dxa"/>
            <w:vAlign w:val="top"/>
          </w:tcPr>
          <w:p w14:paraId="67AC4147">
            <w:pPr>
              <w:spacing w:line="285" w:lineRule="auto"/>
              <w:rPr>
                <w:rFonts w:ascii="Arial"/>
                <w:sz w:val="21"/>
              </w:rPr>
            </w:pPr>
          </w:p>
          <w:p w14:paraId="772F4CAF">
            <w:pPr>
              <w:pStyle w:val="6"/>
              <w:spacing w:before="61" w:line="224" w:lineRule="auto"/>
              <w:ind w:left="124"/>
            </w:pPr>
            <w:r>
              <w:rPr>
                <w:spacing w:val="8"/>
              </w:rPr>
              <w:t>1、核实违法事实，报行政机关负责人批准。</w:t>
            </w:r>
          </w:p>
        </w:tc>
        <w:tc>
          <w:tcPr>
            <w:tcW w:w="3768" w:type="dxa"/>
            <w:vMerge w:val="restart"/>
            <w:tcBorders>
              <w:bottom w:val="nil"/>
            </w:tcBorders>
            <w:vAlign w:val="top"/>
          </w:tcPr>
          <w:p w14:paraId="7D8228C3">
            <w:pPr>
              <w:spacing w:line="246" w:lineRule="auto"/>
              <w:rPr>
                <w:rFonts w:ascii="Arial"/>
                <w:sz w:val="21"/>
              </w:rPr>
            </w:pPr>
          </w:p>
          <w:p w14:paraId="42349BEA">
            <w:pPr>
              <w:spacing w:line="246" w:lineRule="auto"/>
              <w:rPr>
                <w:rFonts w:ascii="Arial"/>
                <w:sz w:val="21"/>
              </w:rPr>
            </w:pPr>
          </w:p>
          <w:p w14:paraId="496E9DD1">
            <w:pPr>
              <w:spacing w:line="246" w:lineRule="auto"/>
              <w:rPr>
                <w:rFonts w:ascii="Arial"/>
                <w:sz w:val="21"/>
              </w:rPr>
            </w:pPr>
          </w:p>
          <w:p w14:paraId="6FF8E6F1">
            <w:pPr>
              <w:spacing w:line="246" w:lineRule="auto"/>
              <w:rPr>
                <w:rFonts w:ascii="Arial"/>
                <w:sz w:val="21"/>
              </w:rPr>
            </w:pPr>
          </w:p>
          <w:p w14:paraId="56607DA3">
            <w:pPr>
              <w:spacing w:line="246" w:lineRule="auto"/>
              <w:rPr>
                <w:rFonts w:ascii="Arial"/>
                <w:sz w:val="21"/>
              </w:rPr>
            </w:pPr>
          </w:p>
          <w:p w14:paraId="418E3F81">
            <w:pPr>
              <w:spacing w:line="247" w:lineRule="auto"/>
              <w:rPr>
                <w:rFonts w:ascii="Arial"/>
                <w:sz w:val="21"/>
              </w:rPr>
            </w:pPr>
          </w:p>
          <w:p w14:paraId="29657ACC">
            <w:pPr>
              <w:spacing w:line="247" w:lineRule="auto"/>
              <w:rPr>
                <w:rFonts w:ascii="Arial"/>
                <w:sz w:val="21"/>
              </w:rPr>
            </w:pPr>
          </w:p>
          <w:p w14:paraId="62105461">
            <w:pPr>
              <w:spacing w:line="247" w:lineRule="auto"/>
              <w:rPr>
                <w:rFonts w:ascii="Arial"/>
                <w:sz w:val="21"/>
              </w:rPr>
            </w:pPr>
          </w:p>
          <w:p w14:paraId="35C334A9">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31515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24" w:type="dxa"/>
            <w:vMerge w:val="continue"/>
            <w:tcBorders>
              <w:top w:val="nil"/>
              <w:bottom w:val="nil"/>
            </w:tcBorders>
            <w:textDirection w:val="tbRlV"/>
            <w:vAlign w:val="top"/>
          </w:tcPr>
          <w:p w14:paraId="34DCBA04">
            <w:pPr>
              <w:rPr>
                <w:rFonts w:ascii="Arial"/>
                <w:sz w:val="21"/>
              </w:rPr>
            </w:pPr>
          </w:p>
        </w:tc>
        <w:tc>
          <w:tcPr>
            <w:tcW w:w="1260" w:type="dxa"/>
            <w:vMerge w:val="continue"/>
            <w:tcBorders>
              <w:top w:val="nil"/>
              <w:bottom w:val="nil"/>
            </w:tcBorders>
            <w:vAlign w:val="top"/>
          </w:tcPr>
          <w:p w14:paraId="638D77A0">
            <w:pPr>
              <w:rPr>
                <w:rFonts w:ascii="Arial"/>
                <w:sz w:val="21"/>
              </w:rPr>
            </w:pPr>
          </w:p>
        </w:tc>
        <w:tc>
          <w:tcPr>
            <w:tcW w:w="3307" w:type="dxa"/>
            <w:vMerge w:val="continue"/>
            <w:tcBorders>
              <w:top w:val="nil"/>
              <w:bottom w:val="nil"/>
            </w:tcBorders>
            <w:vAlign w:val="top"/>
          </w:tcPr>
          <w:p w14:paraId="1F5DAE49">
            <w:pPr>
              <w:rPr>
                <w:rFonts w:ascii="Arial"/>
                <w:sz w:val="21"/>
              </w:rPr>
            </w:pPr>
          </w:p>
        </w:tc>
        <w:tc>
          <w:tcPr>
            <w:tcW w:w="6193" w:type="dxa"/>
            <w:vAlign w:val="top"/>
          </w:tcPr>
          <w:p w14:paraId="1D3C0E4F">
            <w:pPr>
              <w:spacing w:line="261" w:lineRule="auto"/>
              <w:rPr>
                <w:rFonts w:ascii="Arial"/>
                <w:sz w:val="21"/>
              </w:rPr>
            </w:pPr>
          </w:p>
          <w:p w14:paraId="4DF93027">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338EC987">
            <w:pPr>
              <w:rPr>
                <w:rFonts w:ascii="Arial"/>
                <w:sz w:val="21"/>
              </w:rPr>
            </w:pPr>
          </w:p>
        </w:tc>
      </w:tr>
      <w:tr w14:paraId="133CF1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7" w:hRule="atLeast"/>
        </w:trPr>
        <w:tc>
          <w:tcPr>
            <w:tcW w:w="724" w:type="dxa"/>
            <w:vMerge w:val="continue"/>
            <w:tcBorders>
              <w:top w:val="nil"/>
              <w:bottom w:val="nil"/>
            </w:tcBorders>
            <w:textDirection w:val="tbRlV"/>
            <w:vAlign w:val="top"/>
          </w:tcPr>
          <w:p w14:paraId="7E9EECC5">
            <w:pPr>
              <w:rPr>
                <w:rFonts w:ascii="Arial"/>
                <w:sz w:val="21"/>
              </w:rPr>
            </w:pPr>
          </w:p>
        </w:tc>
        <w:tc>
          <w:tcPr>
            <w:tcW w:w="1260" w:type="dxa"/>
            <w:vMerge w:val="continue"/>
            <w:tcBorders>
              <w:top w:val="nil"/>
              <w:bottom w:val="nil"/>
            </w:tcBorders>
            <w:vAlign w:val="top"/>
          </w:tcPr>
          <w:p w14:paraId="08A88171">
            <w:pPr>
              <w:rPr>
                <w:rFonts w:ascii="Arial"/>
                <w:sz w:val="21"/>
              </w:rPr>
            </w:pPr>
          </w:p>
        </w:tc>
        <w:tc>
          <w:tcPr>
            <w:tcW w:w="3307" w:type="dxa"/>
            <w:vMerge w:val="continue"/>
            <w:tcBorders>
              <w:top w:val="nil"/>
              <w:bottom w:val="nil"/>
            </w:tcBorders>
            <w:vAlign w:val="top"/>
          </w:tcPr>
          <w:p w14:paraId="0597D521">
            <w:pPr>
              <w:rPr>
                <w:rFonts w:ascii="Arial"/>
                <w:sz w:val="21"/>
              </w:rPr>
            </w:pPr>
          </w:p>
        </w:tc>
        <w:tc>
          <w:tcPr>
            <w:tcW w:w="6193" w:type="dxa"/>
            <w:vAlign w:val="top"/>
          </w:tcPr>
          <w:p w14:paraId="08050B10">
            <w:pPr>
              <w:pStyle w:val="6"/>
              <w:spacing w:before="281"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4C8A2B51">
            <w:pPr>
              <w:rPr>
                <w:rFonts w:ascii="Arial"/>
                <w:sz w:val="21"/>
              </w:rPr>
            </w:pPr>
          </w:p>
        </w:tc>
      </w:tr>
      <w:tr w14:paraId="65C94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1E3BAB4B">
            <w:pPr>
              <w:rPr>
                <w:rFonts w:ascii="Arial"/>
                <w:sz w:val="21"/>
              </w:rPr>
            </w:pPr>
          </w:p>
        </w:tc>
        <w:tc>
          <w:tcPr>
            <w:tcW w:w="1260" w:type="dxa"/>
            <w:vMerge w:val="continue"/>
            <w:tcBorders>
              <w:top w:val="nil"/>
              <w:bottom w:val="nil"/>
            </w:tcBorders>
            <w:vAlign w:val="top"/>
          </w:tcPr>
          <w:p w14:paraId="647791C3">
            <w:pPr>
              <w:rPr>
                <w:rFonts w:ascii="Arial"/>
                <w:sz w:val="21"/>
              </w:rPr>
            </w:pPr>
          </w:p>
        </w:tc>
        <w:tc>
          <w:tcPr>
            <w:tcW w:w="3307" w:type="dxa"/>
            <w:vMerge w:val="continue"/>
            <w:tcBorders>
              <w:top w:val="nil"/>
              <w:bottom w:val="nil"/>
            </w:tcBorders>
            <w:vAlign w:val="top"/>
          </w:tcPr>
          <w:p w14:paraId="2E5EBFEF">
            <w:pPr>
              <w:rPr>
                <w:rFonts w:ascii="Arial"/>
                <w:sz w:val="21"/>
              </w:rPr>
            </w:pPr>
          </w:p>
        </w:tc>
        <w:tc>
          <w:tcPr>
            <w:tcW w:w="6193" w:type="dxa"/>
            <w:vAlign w:val="top"/>
          </w:tcPr>
          <w:p w14:paraId="4C89D353">
            <w:pPr>
              <w:pStyle w:val="6"/>
              <w:spacing w:before="66"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058F5657">
            <w:pPr>
              <w:rPr>
                <w:rFonts w:ascii="Arial"/>
                <w:sz w:val="21"/>
              </w:rPr>
            </w:pPr>
          </w:p>
        </w:tc>
      </w:tr>
      <w:tr w14:paraId="284FF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387CADF2">
            <w:pPr>
              <w:rPr>
                <w:rFonts w:ascii="Arial"/>
                <w:sz w:val="21"/>
              </w:rPr>
            </w:pPr>
          </w:p>
        </w:tc>
        <w:tc>
          <w:tcPr>
            <w:tcW w:w="1260" w:type="dxa"/>
            <w:vMerge w:val="continue"/>
            <w:tcBorders>
              <w:top w:val="nil"/>
            </w:tcBorders>
            <w:vAlign w:val="top"/>
          </w:tcPr>
          <w:p w14:paraId="58BC83F4">
            <w:pPr>
              <w:rPr>
                <w:rFonts w:ascii="Arial"/>
                <w:sz w:val="21"/>
              </w:rPr>
            </w:pPr>
          </w:p>
        </w:tc>
        <w:tc>
          <w:tcPr>
            <w:tcW w:w="3307" w:type="dxa"/>
            <w:vMerge w:val="continue"/>
            <w:tcBorders>
              <w:top w:val="nil"/>
            </w:tcBorders>
            <w:vAlign w:val="top"/>
          </w:tcPr>
          <w:p w14:paraId="57C3A056">
            <w:pPr>
              <w:rPr>
                <w:rFonts w:ascii="Arial"/>
                <w:sz w:val="21"/>
              </w:rPr>
            </w:pPr>
          </w:p>
        </w:tc>
        <w:tc>
          <w:tcPr>
            <w:tcW w:w="6193" w:type="dxa"/>
            <w:vAlign w:val="top"/>
          </w:tcPr>
          <w:p w14:paraId="27474310">
            <w:pPr>
              <w:pStyle w:val="6"/>
              <w:spacing w:before="90" w:line="224" w:lineRule="auto"/>
              <w:ind w:left="121"/>
            </w:pPr>
            <w:r>
              <w:rPr>
                <w:spacing w:val="8"/>
              </w:rPr>
              <w:t>5、其他法律法规规章规定应履行的责任。</w:t>
            </w:r>
          </w:p>
        </w:tc>
        <w:tc>
          <w:tcPr>
            <w:tcW w:w="3768" w:type="dxa"/>
            <w:vMerge w:val="continue"/>
            <w:tcBorders>
              <w:top w:val="nil"/>
            </w:tcBorders>
            <w:vAlign w:val="top"/>
          </w:tcPr>
          <w:p w14:paraId="16C22C52">
            <w:pPr>
              <w:rPr>
                <w:rFonts w:ascii="Arial"/>
                <w:sz w:val="21"/>
              </w:rPr>
            </w:pPr>
          </w:p>
        </w:tc>
      </w:tr>
      <w:tr w14:paraId="68F2C1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3E08C68C">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202347EF">
      <w:pPr>
        <w:rPr>
          <w:rFonts w:ascii="Arial"/>
          <w:sz w:val="21"/>
        </w:rPr>
      </w:pPr>
    </w:p>
    <w:p w14:paraId="3B14AB84">
      <w:pPr>
        <w:rPr>
          <w:rFonts w:ascii="Arial" w:hAnsi="Arial" w:eastAsia="Arial" w:cs="Arial"/>
          <w:sz w:val="21"/>
          <w:szCs w:val="21"/>
        </w:rPr>
        <w:sectPr>
          <w:footerReference r:id="rId13" w:type="default"/>
          <w:pgSz w:w="16839" w:h="11906"/>
          <w:pgMar w:top="1012" w:right="685" w:bottom="1213" w:left="895" w:header="0" w:footer="938" w:gutter="0"/>
          <w:cols w:space="720" w:num="1"/>
        </w:sectPr>
      </w:pPr>
    </w:p>
    <w:p w14:paraId="1F3D03A6">
      <w:pPr>
        <w:spacing w:before="22"/>
      </w:pPr>
    </w:p>
    <w:p w14:paraId="10E36C8C">
      <w:pPr>
        <w:spacing w:before="22"/>
      </w:pPr>
    </w:p>
    <w:p w14:paraId="6358BEFC">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0026E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B8B877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138EB77">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74B679D">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5B9FB6A0">
            <w:pPr>
              <w:spacing w:before="189"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7266044B">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6D4596C">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47E74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724" w:type="dxa"/>
            <w:vMerge w:val="restart"/>
            <w:tcBorders>
              <w:bottom w:val="nil"/>
            </w:tcBorders>
            <w:textDirection w:val="tbRlV"/>
            <w:vAlign w:val="top"/>
          </w:tcPr>
          <w:p w14:paraId="612C819D">
            <w:pPr>
              <w:pStyle w:val="6"/>
              <w:spacing w:before="255" w:line="213" w:lineRule="auto"/>
              <w:ind w:left="2038"/>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7CD88426">
            <w:pPr>
              <w:spacing w:line="248" w:lineRule="auto"/>
              <w:rPr>
                <w:rFonts w:ascii="Arial"/>
                <w:sz w:val="21"/>
              </w:rPr>
            </w:pPr>
          </w:p>
          <w:p w14:paraId="55AB59B1">
            <w:pPr>
              <w:spacing w:line="249" w:lineRule="auto"/>
              <w:rPr>
                <w:rFonts w:ascii="Arial"/>
                <w:sz w:val="21"/>
              </w:rPr>
            </w:pPr>
          </w:p>
          <w:p w14:paraId="02FC4EF8">
            <w:pPr>
              <w:spacing w:line="249" w:lineRule="auto"/>
              <w:rPr>
                <w:rFonts w:ascii="Arial"/>
                <w:sz w:val="21"/>
              </w:rPr>
            </w:pPr>
          </w:p>
          <w:p w14:paraId="6D91C073">
            <w:pPr>
              <w:spacing w:line="249" w:lineRule="auto"/>
              <w:rPr>
                <w:rFonts w:ascii="Arial"/>
                <w:sz w:val="21"/>
              </w:rPr>
            </w:pPr>
          </w:p>
          <w:p w14:paraId="75462146">
            <w:pPr>
              <w:spacing w:line="249" w:lineRule="auto"/>
              <w:rPr>
                <w:rFonts w:ascii="Arial"/>
                <w:sz w:val="21"/>
              </w:rPr>
            </w:pPr>
          </w:p>
          <w:p w14:paraId="6FEF9C4F">
            <w:pPr>
              <w:spacing w:line="249" w:lineRule="auto"/>
              <w:rPr>
                <w:rFonts w:ascii="Arial"/>
                <w:sz w:val="21"/>
              </w:rPr>
            </w:pPr>
          </w:p>
          <w:p w14:paraId="085CB5DE">
            <w:pPr>
              <w:spacing w:line="249" w:lineRule="auto"/>
              <w:rPr>
                <w:rFonts w:ascii="Arial"/>
                <w:sz w:val="21"/>
              </w:rPr>
            </w:pPr>
          </w:p>
          <w:p w14:paraId="60B34141">
            <w:pPr>
              <w:pStyle w:val="6"/>
              <w:spacing w:before="61" w:line="311" w:lineRule="auto"/>
              <w:ind w:left="113" w:right="107" w:firstLine="10"/>
              <w:jc w:val="both"/>
            </w:pPr>
            <w:r>
              <w:rPr>
                <w:spacing w:val="-4"/>
              </w:rPr>
              <w:t>10.查封、扣</w:t>
            </w:r>
            <w:r>
              <w:rPr>
                <w:spacing w:val="7"/>
              </w:rPr>
              <w:t>押涉嫌不正当竞争的物品及相关证</w:t>
            </w:r>
            <w:r>
              <w:t>据</w:t>
            </w:r>
          </w:p>
        </w:tc>
        <w:tc>
          <w:tcPr>
            <w:tcW w:w="3307" w:type="dxa"/>
            <w:vMerge w:val="restart"/>
            <w:tcBorders>
              <w:bottom w:val="nil"/>
            </w:tcBorders>
            <w:vAlign w:val="top"/>
          </w:tcPr>
          <w:p w14:paraId="1F2D6B1A">
            <w:pPr>
              <w:pStyle w:val="6"/>
              <w:spacing w:before="62" w:line="310" w:lineRule="auto"/>
              <w:ind w:left="111" w:right="198" w:hanging="3"/>
              <w:jc w:val="both"/>
            </w:pPr>
            <w:r>
              <w:rPr>
                <w:spacing w:val="9"/>
              </w:rPr>
              <w:t>《反不正当竞争法》第十三条  监督检查部门调查涉嫌不正当竞争行</w:t>
            </w:r>
            <w:r>
              <w:rPr>
                <w:spacing w:val="8"/>
              </w:rPr>
              <w:t>为，可以采取下列措施：</w:t>
            </w:r>
          </w:p>
          <w:p w14:paraId="3DB68204">
            <w:pPr>
              <w:pStyle w:val="6"/>
              <w:spacing w:before="1" w:line="266" w:lineRule="auto"/>
              <w:ind w:left="116" w:right="198" w:hanging="8"/>
            </w:pPr>
            <w:r>
              <w:rPr>
                <w:spacing w:val="6"/>
              </w:rPr>
              <w:t>（</w:t>
            </w:r>
            <w:r>
              <w:rPr>
                <w:spacing w:val="-41"/>
              </w:rPr>
              <w:t xml:space="preserve"> </w:t>
            </w:r>
            <w:r>
              <w:rPr>
                <w:spacing w:val="6"/>
              </w:rPr>
              <w:t>一）进入涉嫌不正当竞争行为的</w:t>
            </w:r>
            <w:r>
              <w:rPr>
                <w:spacing w:val="7"/>
              </w:rPr>
              <w:t>经营场所进行检查；</w:t>
            </w:r>
          </w:p>
          <w:p w14:paraId="690346B7">
            <w:pPr>
              <w:pStyle w:val="6"/>
              <w:spacing w:before="88" w:line="288" w:lineRule="auto"/>
              <w:ind w:left="111" w:right="198" w:hanging="3"/>
            </w:pPr>
            <w:r>
              <w:rPr>
                <w:spacing w:val="6"/>
              </w:rPr>
              <w:t>（</w:t>
            </w:r>
            <w:r>
              <w:rPr>
                <w:spacing w:val="-41"/>
              </w:rPr>
              <w:t xml:space="preserve"> </w:t>
            </w:r>
            <w:r>
              <w:rPr>
                <w:spacing w:val="6"/>
              </w:rPr>
              <w:t>二）询问被调查的经营者、利害</w:t>
            </w:r>
            <w:r>
              <w:rPr>
                <w:spacing w:val="9"/>
              </w:rPr>
              <w:t>关系人及其他有关单位、个人，要求其说明有关情况或者提供与被调</w:t>
            </w:r>
            <w:r>
              <w:rPr>
                <w:spacing w:val="8"/>
              </w:rPr>
              <w:t>查行为有关的其他资料；</w:t>
            </w:r>
          </w:p>
          <w:p w14:paraId="7508F26D">
            <w:pPr>
              <w:pStyle w:val="6"/>
              <w:spacing w:before="90" w:line="281" w:lineRule="auto"/>
              <w:ind w:left="119" w:right="63" w:hanging="11"/>
            </w:pPr>
            <w:r>
              <w:rPr>
                <w:spacing w:val="6"/>
              </w:rPr>
              <w:t>（</w:t>
            </w:r>
            <w:r>
              <w:rPr>
                <w:spacing w:val="-41"/>
              </w:rPr>
              <w:t xml:space="preserve"> </w:t>
            </w:r>
            <w:r>
              <w:rPr>
                <w:spacing w:val="6"/>
              </w:rPr>
              <w:t>三）查询、复制与涉嫌不正当竞</w:t>
            </w:r>
            <w:r>
              <w:rPr>
                <w:spacing w:val="9"/>
              </w:rPr>
              <w:t>争行为有关的协议、账簿、单据、</w:t>
            </w:r>
            <w:r>
              <w:rPr>
                <w:spacing w:val="4"/>
              </w:rPr>
              <w:t>文件、记录、业务函电和其他资料；</w:t>
            </w:r>
          </w:p>
          <w:p w14:paraId="0A36B9C7">
            <w:pPr>
              <w:pStyle w:val="6"/>
              <w:spacing w:before="90" w:line="267" w:lineRule="auto"/>
              <w:ind w:left="122" w:right="198" w:hanging="14"/>
            </w:pPr>
            <w:r>
              <w:rPr>
                <w:spacing w:val="5"/>
              </w:rPr>
              <w:t>（</w:t>
            </w:r>
            <w:r>
              <w:rPr>
                <w:spacing w:val="-26"/>
              </w:rPr>
              <w:t xml:space="preserve"> </w:t>
            </w:r>
            <w:r>
              <w:rPr>
                <w:spacing w:val="5"/>
              </w:rPr>
              <w:t>四）查封、扣押与涉嫌不正当竞</w:t>
            </w:r>
            <w:r>
              <w:rPr>
                <w:spacing w:val="6"/>
              </w:rPr>
              <w:t>争行为有关的财物；</w:t>
            </w:r>
          </w:p>
          <w:p w14:paraId="40C54807">
            <w:pPr>
              <w:pStyle w:val="6"/>
              <w:spacing w:before="89" w:line="267" w:lineRule="auto"/>
              <w:ind w:left="116" w:right="198" w:hanging="8"/>
            </w:pPr>
            <w:r>
              <w:rPr>
                <w:spacing w:val="6"/>
              </w:rPr>
              <w:t>（</w:t>
            </w:r>
            <w:r>
              <w:rPr>
                <w:spacing w:val="-41"/>
              </w:rPr>
              <w:t xml:space="preserve"> </w:t>
            </w:r>
            <w:r>
              <w:rPr>
                <w:spacing w:val="6"/>
              </w:rPr>
              <w:t>五）查询涉嫌不正当竞争行为的</w:t>
            </w:r>
            <w:r>
              <w:rPr>
                <w:spacing w:val="7"/>
              </w:rPr>
              <w:t>经营者的银行账户。</w:t>
            </w:r>
          </w:p>
        </w:tc>
        <w:tc>
          <w:tcPr>
            <w:tcW w:w="6193" w:type="dxa"/>
            <w:vAlign w:val="top"/>
          </w:tcPr>
          <w:p w14:paraId="58F1EA8D">
            <w:pPr>
              <w:spacing w:line="308" w:lineRule="auto"/>
              <w:rPr>
                <w:rFonts w:ascii="Arial"/>
                <w:sz w:val="21"/>
              </w:rPr>
            </w:pPr>
          </w:p>
          <w:p w14:paraId="27B7709E">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45F51088">
            <w:pPr>
              <w:spacing w:line="262" w:lineRule="auto"/>
              <w:rPr>
                <w:rFonts w:ascii="Arial"/>
                <w:sz w:val="21"/>
              </w:rPr>
            </w:pPr>
          </w:p>
          <w:p w14:paraId="30B16B06">
            <w:pPr>
              <w:spacing w:line="262" w:lineRule="auto"/>
              <w:rPr>
                <w:rFonts w:ascii="Arial"/>
                <w:sz w:val="21"/>
              </w:rPr>
            </w:pPr>
          </w:p>
          <w:p w14:paraId="4089E226">
            <w:pPr>
              <w:spacing w:line="262" w:lineRule="auto"/>
              <w:rPr>
                <w:rFonts w:ascii="Arial"/>
                <w:sz w:val="21"/>
              </w:rPr>
            </w:pPr>
          </w:p>
          <w:p w14:paraId="63662CD2">
            <w:pPr>
              <w:spacing w:line="262" w:lineRule="auto"/>
              <w:rPr>
                <w:rFonts w:ascii="Arial"/>
                <w:sz w:val="21"/>
              </w:rPr>
            </w:pPr>
          </w:p>
          <w:p w14:paraId="19460BA3">
            <w:pPr>
              <w:spacing w:line="263" w:lineRule="auto"/>
              <w:rPr>
                <w:rFonts w:ascii="Arial"/>
                <w:sz w:val="21"/>
              </w:rPr>
            </w:pPr>
          </w:p>
          <w:p w14:paraId="72120652">
            <w:pPr>
              <w:spacing w:line="263" w:lineRule="auto"/>
              <w:rPr>
                <w:rFonts w:ascii="Arial"/>
                <w:sz w:val="21"/>
              </w:rPr>
            </w:pPr>
          </w:p>
          <w:p w14:paraId="6F91688F">
            <w:pPr>
              <w:spacing w:line="263" w:lineRule="auto"/>
              <w:rPr>
                <w:rFonts w:ascii="Arial"/>
                <w:sz w:val="21"/>
              </w:rPr>
            </w:pPr>
          </w:p>
          <w:p w14:paraId="6D2F0D68">
            <w:pPr>
              <w:spacing w:line="263" w:lineRule="auto"/>
              <w:rPr>
                <w:rFonts w:ascii="Arial"/>
                <w:sz w:val="21"/>
              </w:rPr>
            </w:pPr>
          </w:p>
          <w:p w14:paraId="7BF58E80">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22477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724" w:type="dxa"/>
            <w:vMerge w:val="continue"/>
            <w:tcBorders>
              <w:top w:val="nil"/>
              <w:bottom w:val="nil"/>
            </w:tcBorders>
            <w:textDirection w:val="tbRlV"/>
            <w:vAlign w:val="top"/>
          </w:tcPr>
          <w:p w14:paraId="719D3B12">
            <w:pPr>
              <w:rPr>
                <w:rFonts w:ascii="Arial"/>
                <w:sz w:val="21"/>
              </w:rPr>
            </w:pPr>
          </w:p>
        </w:tc>
        <w:tc>
          <w:tcPr>
            <w:tcW w:w="1260" w:type="dxa"/>
            <w:vMerge w:val="continue"/>
            <w:tcBorders>
              <w:top w:val="nil"/>
              <w:bottom w:val="nil"/>
            </w:tcBorders>
            <w:vAlign w:val="top"/>
          </w:tcPr>
          <w:p w14:paraId="59D2C7CE">
            <w:pPr>
              <w:rPr>
                <w:rFonts w:ascii="Arial"/>
                <w:sz w:val="21"/>
              </w:rPr>
            </w:pPr>
          </w:p>
        </w:tc>
        <w:tc>
          <w:tcPr>
            <w:tcW w:w="3307" w:type="dxa"/>
            <w:vMerge w:val="continue"/>
            <w:tcBorders>
              <w:top w:val="nil"/>
              <w:bottom w:val="nil"/>
            </w:tcBorders>
            <w:vAlign w:val="top"/>
          </w:tcPr>
          <w:p w14:paraId="0C8A8E40">
            <w:pPr>
              <w:rPr>
                <w:rFonts w:ascii="Arial"/>
                <w:sz w:val="21"/>
              </w:rPr>
            </w:pPr>
          </w:p>
        </w:tc>
        <w:tc>
          <w:tcPr>
            <w:tcW w:w="6193" w:type="dxa"/>
            <w:vAlign w:val="top"/>
          </w:tcPr>
          <w:p w14:paraId="6E3C23B9">
            <w:pPr>
              <w:pStyle w:val="6"/>
              <w:spacing w:before="258" w:line="224" w:lineRule="auto"/>
              <w:ind w:left="119"/>
            </w:pPr>
            <w:r>
              <w:rPr>
                <w:spacing w:val="7"/>
              </w:rPr>
              <w:t>2、依法作出处理决定。</w:t>
            </w:r>
          </w:p>
        </w:tc>
        <w:tc>
          <w:tcPr>
            <w:tcW w:w="3768" w:type="dxa"/>
            <w:vMerge w:val="continue"/>
            <w:tcBorders>
              <w:top w:val="nil"/>
              <w:bottom w:val="nil"/>
            </w:tcBorders>
            <w:vAlign w:val="top"/>
          </w:tcPr>
          <w:p w14:paraId="143ABF40">
            <w:pPr>
              <w:rPr>
                <w:rFonts w:ascii="Arial"/>
                <w:sz w:val="21"/>
              </w:rPr>
            </w:pPr>
          </w:p>
        </w:tc>
      </w:tr>
      <w:tr w14:paraId="255F0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75F0CCF1">
            <w:pPr>
              <w:rPr>
                <w:rFonts w:ascii="Arial"/>
                <w:sz w:val="21"/>
              </w:rPr>
            </w:pPr>
          </w:p>
        </w:tc>
        <w:tc>
          <w:tcPr>
            <w:tcW w:w="1260" w:type="dxa"/>
            <w:vMerge w:val="continue"/>
            <w:tcBorders>
              <w:top w:val="nil"/>
              <w:bottom w:val="nil"/>
            </w:tcBorders>
            <w:vAlign w:val="top"/>
          </w:tcPr>
          <w:p w14:paraId="647B0E0E">
            <w:pPr>
              <w:rPr>
                <w:rFonts w:ascii="Arial"/>
                <w:sz w:val="21"/>
              </w:rPr>
            </w:pPr>
          </w:p>
        </w:tc>
        <w:tc>
          <w:tcPr>
            <w:tcW w:w="3307" w:type="dxa"/>
            <w:vMerge w:val="continue"/>
            <w:tcBorders>
              <w:top w:val="nil"/>
              <w:bottom w:val="nil"/>
            </w:tcBorders>
            <w:vAlign w:val="top"/>
          </w:tcPr>
          <w:p w14:paraId="17C56C8C">
            <w:pPr>
              <w:rPr>
                <w:rFonts w:ascii="Arial"/>
                <w:sz w:val="21"/>
              </w:rPr>
            </w:pPr>
          </w:p>
        </w:tc>
        <w:tc>
          <w:tcPr>
            <w:tcW w:w="6193" w:type="dxa"/>
            <w:vAlign w:val="top"/>
          </w:tcPr>
          <w:p w14:paraId="704CE2CB">
            <w:pPr>
              <w:spacing w:line="312" w:lineRule="auto"/>
              <w:rPr>
                <w:rFonts w:ascii="Arial"/>
                <w:sz w:val="21"/>
              </w:rPr>
            </w:pPr>
          </w:p>
          <w:p w14:paraId="19AD7CA0">
            <w:pPr>
              <w:pStyle w:val="6"/>
              <w:spacing w:before="62"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01FF2420">
            <w:pPr>
              <w:rPr>
                <w:rFonts w:ascii="Arial"/>
                <w:sz w:val="21"/>
              </w:rPr>
            </w:pPr>
          </w:p>
        </w:tc>
      </w:tr>
      <w:tr w14:paraId="115DE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0AAD55E5">
            <w:pPr>
              <w:rPr>
                <w:rFonts w:ascii="Arial"/>
                <w:sz w:val="21"/>
              </w:rPr>
            </w:pPr>
          </w:p>
        </w:tc>
        <w:tc>
          <w:tcPr>
            <w:tcW w:w="1260" w:type="dxa"/>
            <w:vMerge w:val="continue"/>
            <w:tcBorders>
              <w:top w:val="nil"/>
              <w:bottom w:val="nil"/>
            </w:tcBorders>
            <w:vAlign w:val="top"/>
          </w:tcPr>
          <w:p w14:paraId="1EAC8039">
            <w:pPr>
              <w:rPr>
                <w:rFonts w:ascii="Arial"/>
                <w:sz w:val="21"/>
              </w:rPr>
            </w:pPr>
          </w:p>
        </w:tc>
        <w:tc>
          <w:tcPr>
            <w:tcW w:w="3307" w:type="dxa"/>
            <w:vMerge w:val="continue"/>
            <w:tcBorders>
              <w:top w:val="nil"/>
              <w:bottom w:val="nil"/>
            </w:tcBorders>
            <w:vAlign w:val="top"/>
          </w:tcPr>
          <w:p w14:paraId="2BE10ACD">
            <w:pPr>
              <w:rPr>
                <w:rFonts w:ascii="Arial"/>
                <w:sz w:val="21"/>
              </w:rPr>
            </w:pPr>
          </w:p>
        </w:tc>
        <w:tc>
          <w:tcPr>
            <w:tcW w:w="6193" w:type="dxa"/>
            <w:vAlign w:val="top"/>
          </w:tcPr>
          <w:p w14:paraId="636793CD">
            <w:pPr>
              <w:pStyle w:val="6"/>
              <w:spacing w:before="67"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51E1457B">
            <w:pPr>
              <w:rPr>
                <w:rFonts w:ascii="Arial"/>
                <w:sz w:val="21"/>
              </w:rPr>
            </w:pPr>
          </w:p>
        </w:tc>
      </w:tr>
      <w:tr w14:paraId="437C9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24" w:type="dxa"/>
            <w:vMerge w:val="continue"/>
            <w:tcBorders>
              <w:top w:val="nil"/>
            </w:tcBorders>
            <w:textDirection w:val="tbRlV"/>
            <w:vAlign w:val="top"/>
          </w:tcPr>
          <w:p w14:paraId="73AD47B8">
            <w:pPr>
              <w:rPr>
                <w:rFonts w:ascii="Arial"/>
                <w:sz w:val="21"/>
              </w:rPr>
            </w:pPr>
          </w:p>
        </w:tc>
        <w:tc>
          <w:tcPr>
            <w:tcW w:w="1260" w:type="dxa"/>
            <w:vMerge w:val="continue"/>
            <w:tcBorders>
              <w:top w:val="nil"/>
            </w:tcBorders>
            <w:vAlign w:val="top"/>
          </w:tcPr>
          <w:p w14:paraId="24609CF1">
            <w:pPr>
              <w:rPr>
                <w:rFonts w:ascii="Arial"/>
                <w:sz w:val="21"/>
              </w:rPr>
            </w:pPr>
          </w:p>
        </w:tc>
        <w:tc>
          <w:tcPr>
            <w:tcW w:w="3307" w:type="dxa"/>
            <w:vMerge w:val="continue"/>
            <w:tcBorders>
              <w:top w:val="nil"/>
            </w:tcBorders>
            <w:vAlign w:val="top"/>
          </w:tcPr>
          <w:p w14:paraId="410162B9">
            <w:pPr>
              <w:rPr>
                <w:rFonts w:ascii="Arial"/>
                <w:sz w:val="21"/>
              </w:rPr>
            </w:pPr>
          </w:p>
        </w:tc>
        <w:tc>
          <w:tcPr>
            <w:tcW w:w="6193" w:type="dxa"/>
            <w:vAlign w:val="top"/>
          </w:tcPr>
          <w:p w14:paraId="75CEE8C0">
            <w:pPr>
              <w:pStyle w:val="6"/>
              <w:spacing w:before="168" w:line="224" w:lineRule="auto"/>
              <w:ind w:left="121"/>
            </w:pPr>
            <w:r>
              <w:rPr>
                <w:spacing w:val="8"/>
              </w:rPr>
              <w:t>5、其他法律法规规章规定应履行的责任。</w:t>
            </w:r>
          </w:p>
        </w:tc>
        <w:tc>
          <w:tcPr>
            <w:tcW w:w="3768" w:type="dxa"/>
            <w:vMerge w:val="continue"/>
            <w:tcBorders>
              <w:top w:val="nil"/>
            </w:tcBorders>
            <w:vAlign w:val="top"/>
          </w:tcPr>
          <w:p w14:paraId="649D156D">
            <w:pPr>
              <w:rPr>
                <w:rFonts w:ascii="Arial"/>
                <w:sz w:val="21"/>
              </w:rPr>
            </w:pPr>
          </w:p>
        </w:tc>
      </w:tr>
      <w:tr w14:paraId="7A2C01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60CF3F32">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5DED2C8">
      <w:pPr>
        <w:rPr>
          <w:rFonts w:ascii="Arial"/>
          <w:sz w:val="21"/>
        </w:rPr>
      </w:pPr>
    </w:p>
    <w:p w14:paraId="3E9BFECB">
      <w:pPr>
        <w:rPr>
          <w:rFonts w:ascii="Arial" w:hAnsi="Arial" w:eastAsia="Arial" w:cs="Arial"/>
          <w:sz w:val="21"/>
          <w:szCs w:val="21"/>
        </w:rPr>
        <w:sectPr>
          <w:footerReference r:id="rId14" w:type="default"/>
          <w:pgSz w:w="16839" w:h="11906"/>
          <w:pgMar w:top="1012" w:right="685" w:bottom="1213" w:left="895" w:header="0" w:footer="938" w:gutter="0"/>
          <w:cols w:space="720" w:num="1"/>
        </w:sectPr>
      </w:pPr>
    </w:p>
    <w:p w14:paraId="774723EF">
      <w:pPr>
        <w:spacing w:before="22"/>
      </w:pPr>
    </w:p>
    <w:p w14:paraId="682F105E">
      <w:pPr>
        <w:spacing w:before="22"/>
      </w:pPr>
    </w:p>
    <w:p w14:paraId="0F7B5644">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471C9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6EE2EA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20E7DE28">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F3AD904">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0B87844D">
            <w:pPr>
              <w:spacing w:before="189"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56623FA3">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539D70E9">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41936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724" w:type="dxa"/>
            <w:vMerge w:val="restart"/>
            <w:tcBorders>
              <w:bottom w:val="nil"/>
            </w:tcBorders>
            <w:textDirection w:val="tbRlV"/>
            <w:vAlign w:val="top"/>
          </w:tcPr>
          <w:p w14:paraId="4E2DE062">
            <w:pPr>
              <w:pStyle w:val="6"/>
              <w:spacing w:before="255" w:line="213" w:lineRule="auto"/>
              <w:ind w:left="2012"/>
              <w:rPr>
                <w:sz w:val="20"/>
                <w:szCs w:val="20"/>
              </w:rPr>
            </w:pPr>
            <w:r>
              <w:rPr>
                <w:spacing w:val="7"/>
                <w:sz w:val="20"/>
                <w:szCs w:val="20"/>
              </w:rPr>
              <w:t>行</w:t>
            </w:r>
            <w:r>
              <w:rPr>
                <w:spacing w:val="-24"/>
                <w:sz w:val="20"/>
                <w:szCs w:val="20"/>
              </w:rPr>
              <w:t xml:space="preserve"> </w:t>
            </w:r>
            <w:r>
              <w:rPr>
                <w:spacing w:val="7"/>
                <w:sz w:val="20"/>
                <w:szCs w:val="20"/>
              </w:rPr>
              <w:t>政</w:t>
            </w:r>
            <w:r>
              <w:rPr>
                <w:spacing w:val="-29"/>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65F2BB88">
            <w:pPr>
              <w:spacing w:line="280" w:lineRule="auto"/>
              <w:rPr>
                <w:rFonts w:ascii="Arial"/>
                <w:sz w:val="21"/>
              </w:rPr>
            </w:pPr>
          </w:p>
          <w:p w14:paraId="38634D76">
            <w:pPr>
              <w:spacing w:line="280" w:lineRule="auto"/>
              <w:rPr>
                <w:rFonts w:ascii="Arial"/>
                <w:sz w:val="21"/>
              </w:rPr>
            </w:pPr>
          </w:p>
          <w:p w14:paraId="47A7EE19">
            <w:pPr>
              <w:spacing w:line="281" w:lineRule="auto"/>
              <w:rPr>
                <w:rFonts w:ascii="Arial"/>
                <w:sz w:val="21"/>
              </w:rPr>
            </w:pPr>
          </w:p>
          <w:p w14:paraId="232E4842">
            <w:pPr>
              <w:spacing w:line="281" w:lineRule="auto"/>
              <w:rPr>
                <w:rFonts w:ascii="Arial"/>
                <w:sz w:val="21"/>
              </w:rPr>
            </w:pPr>
          </w:p>
          <w:p w14:paraId="365E4573">
            <w:pPr>
              <w:spacing w:line="281" w:lineRule="auto"/>
              <w:rPr>
                <w:rFonts w:ascii="Arial"/>
                <w:sz w:val="21"/>
              </w:rPr>
            </w:pPr>
          </w:p>
          <w:p w14:paraId="3A7C5FD1">
            <w:pPr>
              <w:pStyle w:val="6"/>
              <w:spacing w:before="62" w:line="310" w:lineRule="auto"/>
              <w:ind w:left="108" w:right="107" w:firstLine="15"/>
            </w:pPr>
            <w:r>
              <w:rPr>
                <w:spacing w:val="-4"/>
              </w:rPr>
              <w:t>11.查封、扣</w:t>
            </w:r>
            <w:r>
              <w:rPr>
                <w:spacing w:val="8"/>
              </w:rPr>
              <w:t>押涉嫌违反《工业产品生产许可证</w:t>
            </w:r>
            <w:r>
              <w:rPr>
                <w:spacing w:val="7"/>
              </w:rPr>
              <w:t>管理条例》</w:t>
            </w:r>
            <w:r>
              <w:rPr>
                <w:spacing w:val="8"/>
              </w:rPr>
              <w:t>的物品及相关证据</w:t>
            </w:r>
          </w:p>
        </w:tc>
        <w:tc>
          <w:tcPr>
            <w:tcW w:w="3307" w:type="dxa"/>
            <w:vMerge w:val="restart"/>
            <w:tcBorders>
              <w:bottom w:val="nil"/>
            </w:tcBorders>
            <w:vAlign w:val="top"/>
          </w:tcPr>
          <w:p w14:paraId="7731223A">
            <w:pPr>
              <w:spacing w:line="451" w:lineRule="auto"/>
              <w:rPr>
                <w:rFonts w:ascii="Arial"/>
                <w:sz w:val="21"/>
              </w:rPr>
            </w:pPr>
          </w:p>
          <w:p w14:paraId="113A0E4B">
            <w:pPr>
              <w:pStyle w:val="6"/>
              <w:spacing w:before="62" w:line="226" w:lineRule="auto"/>
              <w:ind w:left="108"/>
            </w:pPr>
            <w:r>
              <w:rPr>
                <w:spacing w:val="9"/>
              </w:rPr>
              <w:t>《工业产品生产许可证管理条例》</w:t>
            </w:r>
          </w:p>
          <w:p w14:paraId="44435BE1">
            <w:pPr>
              <w:pStyle w:val="6"/>
              <w:spacing w:before="88" w:line="309" w:lineRule="auto"/>
              <w:ind w:left="111" w:right="63" w:hanging="3"/>
            </w:pPr>
            <w:r>
              <w:t>（</w:t>
            </w:r>
            <w:r>
              <w:rPr>
                <w:spacing w:val="-43"/>
              </w:rPr>
              <w:t xml:space="preserve"> </w:t>
            </w:r>
            <w:r>
              <w:t>国务院令第</w:t>
            </w:r>
            <w:r>
              <w:rPr>
                <w:spacing w:val="-29"/>
              </w:rPr>
              <w:t xml:space="preserve"> </w:t>
            </w:r>
            <w:r>
              <w:t>440</w:t>
            </w:r>
            <w:r>
              <w:rPr>
                <w:spacing w:val="-30"/>
              </w:rPr>
              <w:t xml:space="preserve"> </w:t>
            </w:r>
            <w:r>
              <w:t xml:space="preserve">号）第三十七条： </w:t>
            </w:r>
            <w:r>
              <w:rPr>
                <w:spacing w:val="9"/>
              </w:rPr>
              <w:t>“县级以上工业产品生产许可证主管部门根据已经取得的违法嫌疑证据或者举报，对涉嫌违反本条例的行为进行查处并可以行使下列职</w:t>
            </w:r>
          </w:p>
          <w:p w14:paraId="54113FF2">
            <w:pPr>
              <w:pStyle w:val="6"/>
              <w:spacing w:before="3" w:line="310" w:lineRule="auto"/>
              <w:ind w:left="113" w:right="107" w:firstLine="3"/>
            </w:pPr>
            <w:r>
              <w:rPr>
                <w:spacing w:val="-1"/>
              </w:rPr>
              <w:t>权：</w:t>
            </w:r>
            <w:r>
              <w:rPr>
                <w:spacing w:val="64"/>
              </w:rPr>
              <w:t xml:space="preserve"> </w:t>
            </w:r>
            <w:r>
              <w:rPr>
                <w:spacing w:val="-1"/>
              </w:rPr>
              <w:t>…</w:t>
            </w:r>
            <w:r>
              <w:rPr>
                <w:spacing w:val="-62"/>
              </w:rPr>
              <w:t xml:space="preserve"> </w:t>
            </w:r>
            <w:r>
              <w:rPr>
                <w:spacing w:val="-1"/>
              </w:rPr>
              <w:t>…（</w:t>
            </w:r>
            <w:r>
              <w:rPr>
                <w:spacing w:val="-45"/>
              </w:rPr>
              <w:t xml:space="preserve"> </w:t>
            </w:r>
            <w:r>
              <w:rPr>
                <w:spacing w:val="-1"/>
              </w:rPr>
              <w:t>三）对有证据表明属于</w:t>
            </w:r>
            <w:r>
              <w:rPr>
                <w:spacing w:val="9"/>
              </w:rPr>
              <w:t>违反本条例生产、销售或者在经营活动中使用的列入目录产品予以查封或者扣押。县级以上工商行政管理部门依法对涉嫌违反本条例规定的行为进行查处时，也可以行使前</w:t>
            </w:r>
            <w:r>
              <w:rPr>
                <w:spacing w:val="7"/>
              </w:rPr>
              <w:t>款规定的职权。</w:t>
            </w:r>
          </w:p>
        </w:tc>
        <w:tc>
          <w:tcPr>
            <w:tcW w:w="6193" w:type="dxa"/>
            <w:vAlign w:val="top"/>
          </w:tcPr>
          <w:p w14:paraId="0F89E478">
            <w:pPr>
              <w:spacing w:line="301" w:lineRule="auto"/>
              <w:rPr>
                <w:rFonts w:ascii="Arial"/>
                <w:sz w:val="21"/>
              </w:rPr>
            </w:pPr>
          </w:p>
          <w:p w14:paraId="4321E3C6">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36DC864E">
            <w:pPr>
              <w:spacing w:line="259" w:lineRule="auto"/>
              <w:rPr>
                <w:rFonts w:ascii="Arial"/>
                <w:sz w:val="21"/>
              </w:rPr>
            </w:pPr>
          </w:p>
          <w:p w14:paraId="350A7908">
            <w:pPr>
              <w:spacing w:line="259" w:lineRule="auto"/>
              <w:rPr>
                <w:rFonts w:ascii="Arial"/>
                <w:sz w:val="21"/>
              </w:rPr>
            </w:pPr>
          </w:p>
          <w:p w14:paraId="28E0B158">
            <w:pPr>
              <w:spacing w:line="259" w:lineRule="auto"/>
              <w:rPr>
                <w:rFonts w:ascii="Arial"/>
                <w:sz w:val="21"/>
              </w:rPr>
            </w:pPr>
          </w:p>
          <w:p w14:paraId="776F1D2C">
            <w:pPr>
              <w:spacing w:line="259" w:lineRule="auto"/>
              <w:rPr>
                <w:rFonts w:ascii="Arial"/>
                <w:sz w:val="21"/>
              </w:rPr>
            </w:pPr>
          </w:p>
          <w:p w14:paraId="029F50A1">
            <w:pPr>
              <w:spacing w:line="259" w:lineRule="auto"/>
              <w:rPr>
                <w:rFonts w:ascii="Arial"/>
                <w:sz w:val="21"/>
              </w:rPr>
            </w:pPr>
          </w:p>
          <w:p w14:paraId="5CD4F711">
            <w:pPr>
              <w:spacing w:line="259" w:lineRule="auto"/>
              <w:rPr>
                <w:rFonts w:ascii="Arial"/>
                <w:sz w:val="21"/>
              </w:rPr>
            </w:pPr>
          </w:p>
          <w:p w14:paraId="43FDF7F2">
            <w:pPr>
              <w:spacing w:line="260" w:lineRule="auto"/>
              <w:rPr>
                <w:rFonts w:ascii="Arial"/>
                <w:sz w:val="21"/>
              </w:rPr>
            </w:pPr>
          </w:p>
          <w:p w14:paraId="22248489">
            <w:pPr>
              <w:spacing w:line="260" w:lineRule="auto"/>
              <w:rPr>
                <w:rFonts w:ascii="Arial"/>
                <w:sz w:val="21"/>
              </w:rPr>
            </w:pPr>
          </w:p>
          <w:p w14:paraId="13BDE6CB">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287C2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724" w:type="dxa"/>
            <w:vMerge w:val="continue"/>
            <w:tcBorders>
              <w:top w:val="nil"/>
              <w:bottom w:val="nil"/>
            </w:tcBorders>
            <w:textDirection w:val="tbRlV"/>
            <w:vAlign w:val="top"/>
          </w:tcPr>
          <w:p w14:paraId="327833F2">
            <w:pPr>
              <w:rPr>
                <w:rFonts w:ascii="Arial"/>
                <w:sz w:val="21"/>
              </w:rPr>
            </w:pPr>
          </w:p>
        </w:tc>
        <w:tc>
          <w:tcPr>
            <w:tcW w:w="1260" w:type="dxa"/>
            <w:vMerge w:val="continue"/>
            <w:tcBorders>
              <w:top w:val="nil"/>
              <w:bottom w:val="nil"/>
            </w:tcBorders>
            <w:vAlign w:val="top"/>
          </w:tcPr>
          <w:p w14:paraId="2EAAE5F0">
            <w:pPr>
              <w:rPr>
                <w:rFonts w:ascii="Arial"/>
                <w:sz w:val="21"/>
              </w:rPr>
            </w:pPr>
          </w:p>
        </w:tc>
        <w:tc>
          <w:tcPr>
            <w:tcW w:w="3307" w:type="dxa"/>
            <w:vMerge w:val="continue"/>
            <w:tcBorders>
              <w:top w:val="nil"/>
              <w:bottom w:val="nil"/>
            </w:tcBorders>
            <w:vAlign w:val="top"/>
          </w:tcPr>
          <w:p w14:paraId="71AEE1EB">
            <w:pPr>
              <w:rPr>
                <w:rFonts w:ascii="Arial"/>
                <w:sz w:val="21"/>
              </w:rPr>
            </w:pPr>
          </w:p>
        </w:tc>
        <w:tc>
          <w:tcPr>
            <w:tcW w:w="6193" w:type="dxa"/>
            <w:vAlign w:val="top"/>
          </w:tcPr>
          <w:p w14:paraId="2B64ED66">
            <w:pPr>
              <w:spacing w:line="253" w:lineRule="auto"/>
              <w:rPr>
                <w:rFonts w:ascii="Arial"/>
                <w:sz w:val="21"/>
              </w:rPr>
            </w:pPr>
          </w:p>
          <w:p w14:paraId="44EAF6F0">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3FAE9623">
            <w:pPr>
              <w:rPr>
                <w:rFonts w:ascii="Arial"/>
                <w:sz w:val="21"/>
              </w:rPr>
            </w:pPr>
          </w:p>
        </w:tc>
      </w:tr>
      <w:tr w14:paraId="3B8022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23CBBD43">
            <w:pPr>
              <w:rPr>
                <w:rFonts w:ascii="Arial"/>
                <w:sz w:val="21"/>
              </w:rPr>
            </w:pPr>
          </w:p>
        </w:tc>
        <w:tc>
          <w:tcPr>
            <w:tcW w:w="1260" w:type="dxa"/>
            <w:vMerge w:val="continue"/>
            <w:tcBorders>
              <w:top w:val="nil"/>
              <w:bottom w:val="nil"/>
            </w:tcBorders>
            <w:vAlign w:val="top"/>
          </w:tcPr>
          <w:p w14:paraId="5D87C983">
            <w:pPr>
              <w:rPr>
                <w:rFonts w:ascii="Arial"/>
                <w:sz w:val="21"/>
              </w:rPr>
            </w:pPr>
          </w:p>
        </w:tc>
        <w:tc>
          <w:tcPr>
            <w:tcW w:w="3307" w:type="dxa"/>
            <w:vMerge w:val="continue"/>
            <w:tcBorders>
              <w:top w:val="nil"/>
              <w:bottom w:val="nil"/>
            </w:tcBorders>
            <w:vAlign w:val="top"/>
          </w:tcPr>
          <w:p w14:paraId="50A3EAB1">
            <w:pPr>
              <w:rPr>
                <w:rFonts w:ascii="Arial"/>
                <w:sz w:val="21"/>
              </w:rPr>
            </w:pPr>
          </w:p>
        </w:tc>
        <w:tc>
          <w:tcPr>
            <w:tcW w:w="6193" w:type="dxa"/>
            <w:vAlign w:val="top"/>
          </w:tcPr>
          <w:p w14:paraId="011BD1C6">
            <w:pPr>
              <w:spacing w:line="313" w:lineRule="auto"/>
              <w:rPr>
                <w:rFonts w:ascii="Arial"/>
                <w:sz w:val="21"/>
              </w:rPr>
            </w:pPr>
          </w:p>
          <w:p w14:paraId="1F2C843D">
            <w:pPr>
              <w:pStyle w:val="6"/>
              <w:spacing w:before="62"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30C15EC5">
            <w:pPr>
              <w:rPr>
                <w:rFonts w:ascii="Arial"/>
                <w:sz w:val="21"/>
              </w:rPr>
            </w:pPr>
          </w:p>
        </w:tc>
      </w:tr>
      <w:tr w14:paraId="48539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295F0D90">
            <w:pPr>
              <w:rPr>
                <w:rFonts w:ascii="Arial"/>
                <w:sz w:val="21"/>
              </w:rPr>
            </w:pPr>
          </w:p>
        </w:tc>
        <w:tc>
          <w:tcPr>
            <w:tcW w:w="1260" w:type="dxa"/>
            <w:vMerge w:val="continue"/>
            <w:tcBorders>
              <w:top w:val="nil"/>
              <w:bottom w:val="nil"/>
            </w:tcBorders>
            <w:vAlign w:val="top"/>
          </w:tcPr>
          <w:p w14:paraId="67B14546">
            <w:pPr>
              <w:rPr>
                <w:rFonts w:ascii="Arial"/>
                <w:sz w:val="21"/>
              </w:rPr>
            </w:pPr>
          </w:p>
        </w:tc>
        <w:tc>
          <w:tcPr>
            <w:tcW w:w="3307" w:type="dxa"/>
            <w:vMerge w:val="continue"/>
            <w:tcBorders>
              <w:top w:val="nil"/>
              <w:bottom w:val="nil"/>
            </w:tcBorders>
            <w:vAlign w:val="top"/>
          </w:tcPr>
          <w:p w14:paraId="32E471DD">
            <w:pPr>
              <w:rPr>
                <w:rFonts w:ascii="Arial"/>
                <w:sz w:val="21"/>
              </w:rPr>
            </w:pPr>
          </w:p>
        </w:tc>
        <w:tc>
          <w:tcPr>
            <w:tcW w:w="6193" w:type="dxa"/>
            <w:vAlign w:val="top"/>
          </w:tcPr>
          <w:p w14:paraId="45058B12">
            <w:pPr>
              <w:pStyle w:val="6"/>
              <w:spacing w:before="67"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608C7031">
            <w:pPr>
              <w:rPr>
                <w:rFonts w:ascii="Arial"/>
                <w:sz w:val="21"/>
              </w:rPr>
            </w:pPr>
          </w:p>
        </w:tc>
      </w:tr>
      <w:tr w14:paraId="6F79B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338360C0">
            <w:pPr>
              <w:rPr>
                <w:rFonts w:ascii="Arial"/>
                <w:sz w:val="21"/>
              </w:rPr>
            </w:pPr>
          </w:p>
        </w:tc>
        <w:tc>
          <w:tcPr>
            <w:tcW w:w="1260" w:type="dxa"/>
            <w:vMerge w:val="continue"/>
            <w:tcBorders>
              <w:top w:val="nil"/>
            </w:tcBorders>
            <w:vAlign w:val="top"/>
          </w:tcPr>
          <w:p w14:paraId="7CA152A1">
            <w:pPr>
              <w:rPr>
                <w:rFonts w:ascii="Arial"/>
                <w:sz w:val="21"/>
              </w:rPr>
            </w:pPr>
          </w:p>
        </w:tc>
        <w:tc>
          <w:tcPr>
            <w:tcW w:w="3307" w:type="dxa"/>
            <w:vMerge w:val="continue"/>
            <w:tcBorders>
              <w:top w:val="nil"/>
            </w:tcBorders>
            <w:vAlign w:val="top"/>
          </w:tcPr>
          <w:p w14:paraId="5D968D01">
            <w:pPr>
              <w:rPr>
                <w:rFonts w:ascii="Arial"/>
                <w:sz w:val="21"/>
              </w:rPr>
            </w:pPr>
          </w:p>
        </w:tc>
        <w:tc>
          <w:tcPr>
            <w:tcW w:w="6193" w:type="dxa"/>
            <w:vAlign w:val="top"/>
          </w:tcPr>
          <w:p w14:paraId="33D0D08A">
            <w:pPr>
              <w:pStyle w:val="6"/>
              <w:spacing w:before="89" w:line="224" w:lineRule="auto"/>
              <w:ind w:left="121"/>
            </w:pPr>
            <w:r>
              <w:rPr>
                <w:spacing w:val="8"/>
              </w:rPr>
              <w:t>5、其他法律法规规章规定应履行的责任。</w:t>
            </w:r>
          </w:p>
        </w:tc>
        <w:tc>
          <w:tcPr>
            <w:tcW w:w="3768" w:type="dxa"/>
            <w:vMerge w:val="continue"/>
            <w:tcBorders>
              <w:top w:val="nil"/>
            </w:tcBorders>
            <w:vAlign w:val="top"/>
          </w:tcPr>
          <w:p w14:paraId="614DC9B9">
            <w:pPr>
              <w:rPr>
                <w:rFonts w:ascii="Arial"/>
                <w:sz w:val="21"/>
              </w:rPr>
            </w:pPr>
          </w:p>
        </w:tc>
      </w:tr>
      <w:tr w14:paraId="712D0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647C7D21">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C3C6463">
      <w:pPr>
        <w:rPr>
          <w:rFonts w:ascii="Arial"/>
          <w:sz w:val="21"/>
        </w:rPr>
      </w:pPr>
    </w:p>
    <w:p w14:paraId="5F0B4F2F">
      <w:pPr>
        <w:rPr>
          <w:rFonts w:ascii="Arial" w:hAnsi="Arial" w:eastAsia="Arial" w:cs="Arial"/>
          <w:sz w:val="21"/>
          <w:szCs w:val="21"/>
        </w:rPr>
        <w:sectPr>
          <w:footerReference r:id="rId15" w:type="default"/>
          <w:pgSz w:w="16839" w:h="11906"/>
          <w:pgMar w:top="1012" w:right="685" w:bottom="1213" w:left="895" w:header="0" w:footer="936" w:gutter="0"/>
          <w:cols w:space="720" w:num="1"/>
        </w:sectPr>
      </w:pPr>
    </w:p>
    <w:p w14:paraId="7672B7F3">
      <w:pPr>
        <w:spacing w:before="22"/>
      </w:pPr>
    </w:p>
    <w:p w14:paraId="276F1E76">
      <w:pPr>
        <w:spacing w:before="22"/>
      </w:pPr>
    </w:p>
    <w:p w14:paraId="18751D59">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33EF9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1A125B22">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94B2FF5">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0FED5C1D">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394568A1">
            <w:pPr>
              <w:spacing w:before="189"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1AC53199">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7CC5EC3">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0D84B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724" w:type="dxa"/>
            <w:vMerge w:val="restart"/>
            <w:tcBorders>
              <w:bottom w:val="nil"/>
            </w:tcBorders>
            <w:textDirection w:val="tbRlV"/>
            <w:vAlign w:val="top"/>
          </w:tcPr>
          <w:p w14:paraId="34D30B1C">
            <w:pPr>
              <w:pStyle w:val="6"/>
              <w:spacing w:before="255" w:line="213" w:lineRule="auto"/>
              <w:ind w:left="2108"/>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7A2B659E">
            <w:pPr>
              <w:spacing w:line="275" w:lineRule="auto"/>
              <w:rPr>
                <w:rFonts w:ascii="Arial"/>
                <w:sz w:val="21"/>
              </w:rPr>
            </w:pPr>
          </w:p>
          <w:p w14:paraId="0DF0A89B">
            <w:pPr>
              <w:spacing w:line="275" w:lineRule="auto"/>
              <w:rPr>
                <w:rFonts w:ascii="Arial"/>
                <w:sz w:val="21"/>
              </w:rPr>
            </w:pPr>
          </w:p>
          <w:p w14:paraId="202436A8">
            <w:pPr>
              <w:spacing w:line="275" w:lineRule="auto"/>
              <w:rPr>
                <w:rFonts w:ascii="Arial"/>
                <w:sz w:val="21"/>
              </w:rPr>
            </w:pPr>
          </w:p>
          <w:p w14:paraId="60D8EFCD">
            <w:pPr>
              <w:spacing w:line="276" w:lineRule="auto"/>
              <w:rPr>
                <w:rFonts w:ascii="Arial"/>
                <w:sz w:val="21"/>
              </w:rPr>
            </w:pPr>
          </w:p>
          <w:p w14:paraId="234B6213">
            <w:pPr>
              <w:spacing w:line="276" w:lineRule="auto"/>
              <w:rPr>
                <w:rFonts w:ascii="Arial"/>
                <w:sz w:val="21"/>
              </w:rPr>
            </w:pPr>
          </w:p>
          <w:p w14:paraId="11EDE5EC">
            <w:pPr>
              <w:spacing w:line="276" w:lineRule="auto"/>
              <w:rPr>
                <w:rFonts w:ascii="Arial"/>
                <w:sz w:val="21"/>
              </w:rPr>
            </w:pPr>
          </w:p>
          <w:p w14:paraId="629F1019">
            <w:pPr>
              <w:pStyle w:val="6"/>
              <w:spacing w:before="62" w:line="310" w:lineRule="auto"/>
              <w:ind w:left="113" w:right="107" w:firstLine="10"/>
              <w:jc w:val="both"/>
            </w:pPr>
            <w:r>
              <w:rPr>
                <w:spacing w:val="-4"/>
              </w:rPr>
              <w:t>12.查封、扣</w:t>
            </w:r>
            <w:r>
              <w:rPr>
                <w:spacing w:val="7"/>
              </w:rPr>
              <w:t>押有证据证明可能危害人体健康的药品及其有</w:t>
            </w:r>
            <w:r>
              <w:rPr>
                <w:spacing w:val="6"/>
              </w:rPr>
              <w:t>关材料</w:t>
            </w:r>
          </w:p>
        </w:tc>
        <w:tc>
          <w:tcPr>
            <w:tcW w:w="3307" w:type="dxa"/>
            <w:vMerge w:val="restart"/>
            <w:tcBorders>
              <w:bottom w:val="nil"/>
            </w:tcBorders>
            <w:vAlign w:val="top"/>
          </w:tcPr>
          <w:p w14:paraId="7E5073F8">
            <w:pPr>
              <w:spacing w:line="294" w:lineRule="auto"/>
              <w:rPr>
                <w:rFonts w:ascii="Arial"/>
                <w:sz w:val="21"/>
              </w:rPr>
            </w:pPr>
          </w:p>
          <w:p w14:paraId="09C0162B">
            <w:pPr>
              <w:spacing w:line="295" w:lineRule="auto"/>
              <w:rPr>
                <w:rFonts w:ascii="Arial"/>
                <w:sz w:val="21"/>
              </w:rPr>
            </w:pPr>
          </w:p>
          <w:p w14:paraId="7D782D28">
            <w:pPr>
              <w:spacing w:line="295" w:lineRule="auto"/>
              <w:rPr>
                <w:rFonts w:ascii="Arial"/>
                <w:sz w:val="21"/>
              </w:rPr>
            </w:pPr>
          </w:p>
          <w:p w14:paraId="22292E9A">
            <w:pPr>
              <w:spacing w:line="295" w:lineRule="auto"/>
              <w:rPr>
                <w:rFonts w:ascii="Arial"/>
                <w:sz w:val="21"/>
              </w:rPr>
            </w:pPr>
          </w:p>
          <w:p w14:paraId="6AB0CD9C">
            <w:pPr>
              <w:pStyle w:val="6"/>
              <w:spacing w:before="61" w:line="225" w:lineRule="auto"/>
              <w:ind w:left="509"/>
            </w:pPr>
            <w:r>
              <w:rPr>
                <w:spacing w:val="9"/>
              </w:rPr>
              <w:t>《中华人民共和国药品管理</w:t>
            </w:r>
          </w:p>
          <w:p w14:paraId="19E87822">
            <w:pPr>
              <w:pStyle w:val="6"/>
              <w:spacing w:before="90" w:line="311" w:lineRule="auto"/>
              <w:ind w:left="106" w:right="198" w:firstLine="11"/>
              <w:jc w:val="both"/>
            </w:pPr>
            <w:r>
              <w:rPr>
                <w:spacing w:val="8"/>
              </w:rPr>
              <w:t>法》第六十四条第二款：药品监督</w:t>
            </w:r>
            <w:r>
              <w:rPr>
                <w:spacing w:val="9"/>
              </w:rPr>
              <w:t>管理部门对有证据证明可能危害人体健康的药品及其有关材料可以采取查封、扣押的行政强制措施，并在七日内作出行政处理决定；药品需要检验的，必须自检验报告书发出之日起十五日内作出行政处理决</w:t>
            </w:r>
            <w:r>
              <w:rPr>
                <w:spacing w:val="2"/>
              </w:rPr>
              <w:t>定。</w:t>
            </w:r>
          </w:p>
        </w:tc>
        <w:tc>
          <w:tcPr>
            <w:tcW w:w="6193" w:type="dxa"/>
            <w:vAlign w:val="top"/>
          </w:tcPr>
          <w:p w14:paraId="01D1FECC">
            <w:pPr>
              <w:spacing w:line="308" w:lineRule="auto"/>
              <w:rPr>
                <w:rFonts w:ascii="Arial"/>
                <w:sz w:val="21"/>
              </w:rPr>
            </w:pPr>
          </w:p>
          <w:p w14:paraId="5BDF952F">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14149F57">
            <w:pPr>
              <w:spacing w:line="241" w:lineRule="auto"/>
              <w:rPr>
                <w:rFonts w:ascii="Arial"/>
                <w:sz w:val="21"/>
              </w:rPr>
            </w:pPr>
          </w:p>
          <w:p w14:paraId="248007AD">
            <w:pPr>
              <w:spacing w:line="241" w:lineRule="auto"/>
              <w:rPr>
                <w:rFonts w:ascii="Arial"/>
                <w:sz w:val="21"/>
              </w:rPr>
            </w:pPr>
          </w:p>
          <w:p w14:paraId="48267457">
            <w:pPr>
              <w:spacing w:line="241" w:lineRule="auto"/>
              <w:rPr>
                <w:rFonts w:ascii="Arial"/>
                <w:sz w:val="21"/>
              </w:rPr>
            </w:pPr>
          </w:p>
          <w:p w14:paraId="36A37F0D">
            <w:pPr>
              <w:spacing w:line="241" w:lineRule="auto"/>
              <w:rPr>
                <w:rFonts w:ascii="Arial"/>
                <w:sz w:val="21"/>
              </w:rPr>
            </w:pPr>
          </w:p>
          <w:p w14:paraId="7DFD8736">
            <w:pPr>
              <w:spacing w:line="241" w:lineRule="auto"/>
              <w:rPr>
                <w:rFonts w:ascii="Arial"/>
                <w:sz w:val="21"/>
              </w:rPr>
            </w:pPr>
          </w:p>
          <w:p w14:paraId="600DBAC3">
            <w:pPr>
              <w:spacing w:line="241" w:lineRule="auto"/>
              <w:rPr>
                <w:rFonts w:ascii="Arial"/>
                <w:sz w:val="21"/>
              </w:rPr>
            </w:pPr>
          </w:p>
          <w:p w14:paraId="0B208DD6">
            <w:pPr>
              <w:spacing w:line="241" w:lineRule="auto"/>
              <w:rPr>
                <w:rFonts w:ascii="Arial"/>
                <w:sz w:val="21"/>
              </w:rPr>
            </w:pPr>
          </w:p>
          <w:p w14:paraId="0C06E107">
            <w:pPr>
              <w:spacing w:line="241" w:lineRule="auto"/>
              <w:rPr>
                <w:rFonts w:ascii="Arial"/>
                <w:sz w:val="21"/>
              </w:rPr>
            </w:pPr>
          </w:p>
          <w:p w14:paraId="3EB4B7CE">
            <w:pPr>
              <w:spacing w:line="241" w:lineRule="auto"/>
              <w:rPr>
                <w:rFonts w:ascii="Arial"/>
                <w:sz w:val="21"/>
              </w:rPr>
            </w:pPr>
          </w:p>
          <w:p w14:paraId="36A424EF">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35E89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724" w:type="dxa"/>
            <w:vMerge w:val="continue"/>
            <w:tcBorders>
              <w:top w:val="nil"/>
              <w:bottom w:val="nil"/>
            </w:tcBorders>
            <w:textDirection w:val="tbRlV"/>
            <w:vAlign w:val="top"/>
          </w:tcPr>
          <w:p w14:paraId="36665C32">
            <w:pPr>
              <w:rPr>
                <w:rFonts w:ascii="Arial"/>
                <w:sz w:val="21"/>
              </w:rPr>
            </w:pPr>
          </w:p>
        </w:tc>
        <w:tc>
          <w:tcPr>
            <w:tcW w:w="1260" w:type="dxa"/>
            <w:vMerge w:val="continue"/>
            <w:tcBorders>
              <w:top w:val="nil"/>
              <w:bottom w:val="nil"/>
            </w:tcBorders>
            <w:vAlign w:val="top"/>
          </w:tcPr>
          <w:p w14:paraId="17295BA6">
            <w:pPr>
              <w:rPr>
                <w:rFonts w:ascii="Arial"/>
                <w:sz w:val="21"/>
              </w:rPr>
            </w:pPr>
          </w:p>
        </w:tc>
        <w:tc>
          <w:tcPr>
            <w:tcW w:w="3307" w:type="dxa"/>
            <w:vMerge w:val="continue"/>
            <w:tcBorders>
              <w:top w:val="nil"/>
              <w:bottom w:val="nil"/>
            </w:tcBorders>
            <w:vAlign w:val="top"/>
          </w:tcPr>
          <w:p w14:paraId="19EC7F9E">
            <w:pPr>
              <w:rPr>
                <w:rFonts w:ascii="Arial"/>
                <w:sz w:val="21"/>
              </w:rPr>
            </w:pPr>
          </w:p>
        </w:tc>
        <w:tc>
          <w:tcPr>
            <w:tcW w:w="6193" w:type="dxa"/>
            <w:vAlign w:val="top"/>
          </w:tcPr>
          <w:p w14:paraId="114870D5">
            <w:pPr>
              <w:spacing w:line="255" w:lineRule="auto"/>
              <w:rPr>
                <w:rFonts w:ascii="Arial"/>
                <w:sz w:val="21"/>
              </w:rPr>
            </w:pPr>
          </w:p>
          <w:p w14:paraId="526AF09F">
            <w:pPr>
              <w:pStyle w:val="6"/>
              <w:spacing w:before="61" w:line="224" w:lineRule="auto"/>
              <w:ind w:left="119"/>
            </w:pPr>
            <w:r>
              <w:rPr>
                <w:spacing w:val="7"/>
              </w:rPr>
              <w:t>2、依法作出处理决定。</w:t>
            </w:r>
          </w:p>
        </w:tc>
        <w:tc>
          <w:tcPr>
            <w:tcW w:w="3768" w:type="dxa"/>
            <w:vMerge w:val="continue"/>
            <w:tcBorders>
              <w:top w:val="nil"/>
              <w:bottom w:val="nil"/>
            </w:tcBorders>
            <w:vAlign w:val="top"/>
          </w:tcPr>
          <w:p w14:paraId="42502DB6">
            <w:pPr>
              <w:rPr>
                <w:rFonts w:ascii="Arial"/>
                <w:sz w:val="21"/>
              </w:rPr>
            </w:pPr>
          </w:p>
        </w:tc>
      </w:tr>
      <w:tr w14:paraId="257D7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trPr>
        <w:tc>
          <w:tcPr>
            <w:tcW w:w="724" w:type="dxa"/>
            <w:vMerge w:val="continue"/>
            <w:tcBorders>
              <w:top w:val="nil"/>
              <w:bottom w:val="nil"/>
            </w:tcBorders>
            <w:textDirection w:val="tbRlV"/>
            <w:vAlign w:val="top"/>
          </w:tcPr>
          <w:p w14:paraId="0E56CB93">
            <w:pPr>
              <w:rPr>
                <w:rFonts w:ascii="Arial"/>
                <w:sz w:val="21"/>
              </w:rPr>
            </w:pPr>
          </w:p>
        </w:tc>
        <w:tc>
          <w:tcPr>
            <w:tcW w:w="1260" w:type="dxa"/>
            <w:vMerge w:val="continue"/>
            <w:tcBorders>
              <w:top w:val="nil"/>
              <w:bottom w:val="nil"/>
            </w:tcBorders>
            <w:vAlign w:val="top"/>
          </w:tcPr>
          <w:p w14:paraId="092CA79F">
            <w:pPr>
              <w:rPr>
                <w:rFonts w:ascii="Arial"/>
                <w:sz w:val="21"/>
              </w:rPr>
            </w:pPr>
          </w:p>
        </w:tc>
        <w:tc>
          <w:tcPr>
            <w:tcW w:w="3307" w:type="dxa"/>
            <w:vMerge w:val="continue"/>
            <w:tcBorders>
              <w:top w:val="nil"/>
              <w:bottom w:val="nil"/>
            </w:tcBorders>
            <w:vAlign w:val="top"/>
          </w:tcPr>
          <w:p w14:paraId="156BDC8A">
            <w:pPr>
              <w:rPr>
                <w:rFonts w:ascii="Arial"/>
                <w:sz w:val="21"/>
              </w:rPr>
            </w:pPr>
          </w:p>
        </w:tc>
        <w:tc>
          <w:tcPr>
            <w:tcW w:w="6193" w:type="dxa"/>
            <w:vAlign w:val="top"/>
          </w:tcPr>
          <w:p w14:paraId="7CAB80E9">
            <w:pPr>
              <w:pStyle w:val="6"/>
              <w:spacing w:before="238" w:line="307"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1C5ED90E">
            <w:pPr>
              <w:rPr>
                <w:rFonts w:ascii="Arial"/>
                <w:sz w:val="21"/>
              </w:rPr>
            </w:pPr>
          </w:p>
        </w:tc>
      </w:tr>
      <w:tr w14:paraId="5C4AB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59BAA1A6">
            <w:pPr>
              <w:rPr>
                <w:rFonts w:ascii="Arial"/>
                <w:sz w:val="21"/>
              </w:rPr>
            </w:pPr>
          </w:p>
        </w:tc>
        <w:tc>
          <w:tcPr>
            <w:tcW w:w="1260" w:type="dxa"/>
            <w:vMerge w:val="continue"/>
            <w:tcBorders>
              <w:top w:val="nil"/>
              <w:bottom w:val="nil"/>
            </w:tcBorders>
            <w:vAlign w:val="top"/>
          </w:tcPr>
          <w:p w14:paraId="0CF15B90">
            <w:pPr>
              <w:rPr>
                <w:rFonts w:ascii="Arial"/>
                <w:sz w:val="21"/>
              </w:rPr>
            </w:pPr>
          </w:p>
        </w:tc>
        <w:tc>
          <w:tcPr>
            <w:tcW w:w="3307" w:type="dxa"/>
            <w:vMerge w:val="continue"/>
            <w:tcBorders>
              <w:top w:val="nil"/>
              <w:bottom w:val="nil"/>
            </w:tcBorders>
            <w:vAlign w:val="top"/>
          </w:tcPr>
          <w:p w14:paraId="5D62CB23">
            <w:pPr>
              <w:rPr>
                <w:rFonts w:ascii="Arial"/>
                <w:sz w:val="21"/>
              </w:rPr>
            </w:pPr>
          </w:p>
        </w:tc>
        <w:tc>
          <w:tcPr>
            <w:tcW w:w="6193" w:type="dxa"/>
            <w:vAlign w:val="top"/>
          </w:tcPr>
          <w:p w14:paraId="46A5E61C">
            <w:pPr>
              <w:pStyle w:val="6"/>
              <w:spacing w:before="65"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5B282F22">
            <w:pPr>
              <w:rPr>
                <w:rFonts w:ascii="Arial"/>
                <w:sz w:val="21"/>
              </w:rPr>
            </w:pPr>
          </w:p>
        </w:tc>
      </w:tr>
      <w:tr w14:paraId="56A7C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724" w:type="dxa"/>
            <w:vMerge w:val="continue"/>
            <w:tcBorders>
              <w:top w:val="nil"/>
            </w:tcBorders>
            <w:textDirection w:val="tbRlV"/>
            <w:vAlign w:val="top"/>
          </w:tcPr>
          <w:p w14:paraId="5EFD6F92">
            <w:pPr>
              <w:rPr>
                <w:rFonts w:ascii="Arial"/>
                <w:sz w:val="21"/>
              </w:rPr>
            </w:pPr>
          </w:p>
        </w:tc>
        <w:tc>
          <w:tcPr>
            <w:tcW w:w="1260" w:type="dxa"/>
            <w:vMerge w:val="continue"/>
            <w:tcBorders>
              <w:top w:val="nil"/>
            </w:tcBorders>
            <w:vAlign w:val="top"/>
          </w:tcPr>
          <w:p w14:paraId="4BAA7E35">
            <w:pPr>
              <w:rPr>
                <w:rFonts w:ascii="Arial"/>
                <w:sz w:val="21"/>
              </w:rPr>
            </w:pPr>
          </w:p>
        </w:tc>
        <w:tc>
          <w:tcPr>
            <w:tcW w:w="3307" w:type="dxa"/>
            <w:vMerge w:val="continue"/>
            <w:tcBorders>
              <w:top w:val="nil"/>
            </w:tcBorders>
            <w:vAlign w:val="top"/>
          </w:tcPr>
          <w:p w14:paraId="5D14DDD7">
            <w:pPr>
              <w:rPr>
                <w:rFonts w:ascii="Arial"/>
                <w:sz w:val="21"/>
              </w:rPr>
            </w:pPr>
          </w:p>
        </w:tc>
        <w:tc>
          <w:tcPr>
            <w:tcW w:w="6193" w:type="dxa"/>
            <w:vAlign w:val="top"/>
          </w:tcPr>
          <w:p w14:paraId="4D34CE4D">
            <w:pPr>
              <w:spacing w:line="255" w:lineRule="auto"/>
              <w:rPr>
                <w:rFonts w:ascii="Arial"/>
                <w:sz w:val="21"/>
              </w:rPr>
            </w:pPr>
          </w:p>
          <w:p w14:paraId="2B908F3A">
            <w:pPr>
              <w:pStyle w:val="6"/>
              <w:spacing w:before="61" w:line="224" w:lineRule="auto"/>
              <w:ind w:left="121"/>
            </w:pPr>
            <w:r>
              <w:rPr>
                <w:spacing w:val="8"/>
              </w:rPr>
              <w:t>5、其他法律法规规章规定应履行的责任。</w:t>
            </w:r>
          </w:p>
        </w:tc>
        <w:tc>
          <w:tcPr>
            <w:tcW w:w="3768" w:type="dxa"/>
            <w:vMerge w:val="continue"/>
            <w:tcBorders>
              <w:top w:val="nil"/>
            </w:tcBorders>
            <w:vAlign w:val="top"/>
          </w:tcPr>
          <w:p w14:paraId="4C40C1C6">
            <w:pPr>
              <w:rPr>
                <w:rFonts w:ascii="Arial"/>
                <w:sz w:val="21"/>
              </w:rPr>
            </w:pPr>
          </w:p>
        </w:tc>
      </w:tr>
      <w:tr w14:paraId="09A2B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2E51159E">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742941B">
      <w:pPr>
        <w:pStyle w:val="2"/>
      </w:pPr>
    </w:p>
    <w:p w14:paraId="1C7E1D6E">
      <w:pPr>
        <w:sectPr>
          <w:footerReference r:id="rId16" w:type="default"/>
          <w:pgSz w:w="16839" w:h="11906"/>
          <w:pgMar w:top="1012" w:right="685" w:bottom="1213" w:left="895" w:header="0" w:footer="936" w:gutter="0"/>
          <w:cols w:space="720" w:num="1"/>
        </w:sectPr>
      </w:pPr>
    </w:p>
    <w:p w14:paraId="3369697D">
      <w:pPr>
        <w:spacing w:before="22"/>
      </w:pPr>
    </w:p>
    <w:p w14:paraId="661C17AE">
      <w:pPr>
        <w:spacing w:before="22"/>
      </w:pPr>
    </w:p>
    <w:p w14:paraId="1CD95697">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5657"/>
        <w:gridCol w:w="3843"/>
        <w:gridCol w:w="3768"/>
      </w:tblGrid>
      <w:tr w14:paraId="0F64A8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158F6110">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2E8C717">
            <w:pPr>
              <w:spacing w:before="33"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5DE884D8">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5657" w:type="dxa"/>
            <w:vAlign w:val="top"/>
          </w:tcPr>
          <w:p w14:paraId="41867430">
            <w:pPr>
              <w:spacing w:before="189" w:line="228" w:lineRule="auto"/>
              <w:ind w:left="2416"/>
              <w:rPr>
                <w:rFonts w:ascii="宋体" w:hAnsi="宋体" w:eastAsia="宋体" w:cs="宋体"/>
                <w:sz w:val="20"/>
                <w:szCs w:val="20"/>
              </w:rPr>
            </w:pPr>
            <w:r>
              <w:rPr>
                <w:rFonts w:ascii="宋体" w:hAnsi="宋体" w:eastAsia="宋体" w:cs="宋体"/>
                <w:b/>
                <w:bCs/>
                <w:spacing w:val="5"/>
                <w:sz w:val="20"/>
                <w:szCs w:val="20"/>
              </w:rPr>
              <w:t>实施依据</w:t>
            </w:r>
          </w:p>
        </w:tc>
        <w:tc>
          <w:tcPr>
            <w:tcW w:w="3843" w:type="dxa"/>
            <w:vAlign w:val="top"/>
          </w:tcPr>
          <w:p w14:paraId="109EB635">
            <w:pPr>
              <w:spacing w:before="190" w:line="228" w:lineRule="auto"/>
              <w:ind w:left="932"/>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30896D9A">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21C1F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1" w:hRule="atLeast"/>
        </w:trPr>
        <w:tc>
          <w:tcPr>
            <w:tcW w:w="724" w:type="dxa"/>
            <w:vMerge w:val="restart"/>
            <w:tcBorders>
              <w:bottom w:val="nil"/>
            </w:tcBorders>
            <w:textDirection w:val="tbRlV"/>
            <w:vAlign w:val="top"/>
          </w:tcPr>
          <w:p w14:paraId="265094B3">
            <w:pPr>
              <w:pStyle w:val="6"/>
              <w:spacing w:before="255" w:line="213" w:lineRule="auto"/>
              <w:ind w:left="2328"/>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1DA15019">
            <w:pPr>
              <w:spacing w:line="270" w:lineRule="auto"/>
              <w:rPr>
                <w:rFonts w:ascii="Arial"/>
                <w:sz w:val="21"/>
              </w:rPr>
            </w:pPr>
          </w:p>
          <w:p w14:paraId="7EFEA7A0">
            <w:pPr>
              <w:spacing w:line="271" w:lineRule="auto"/>
              <w:rPr>
                <w:rFonts w:ascii="Arial"/>
                <w:sz w:val="21"/>
              </w:rPr>
            </w:pPr>
          </w:p>
          <w:p w14:paraId="2B2365AA">
            <w:pPr>
              <w:spacing w:line="271" w:lineRule="auto"/>
              <w:rPr>
                <w:rFonts w:ascii="Arial"/>
                <w:sz w:val="21"/>
              </w:rPr>
            </w:pPr>
          </w:p>
          <w:p w14:paraId="2FA2E9F6">
            <w:pPr>
              <w:spacing w:line="271" w:lineRule="auto"/>
              <w:rPr>
                <w:rFonts w:ascii="Arial"/>
                <w:sz w:val="21"/>
              </w:rPr>
            </w:pPr>
          </w:p>
          <w:p w14:paraId="79A3F19B">
            <w:pPr>
              <w:pStyle w:val="6"/>
              <w:spacing w:before="62" w:line="310" w:lineRule="auto"/>
              <w:ind w:left="106" w:right="107" w:firstLine="17"/>
              <w:jc w:val="both"/>
            </w:pPr>
            <w:r>
              <w:rPr>
                <w:spacing w:val="-4"/>
              </w:rPr>
              <w:t>13.查封、扣</w:t>
            </w:r>
            <w:r>
              <w:rPr>
                <w:spacing w:val="8"/>
              </w:rPr>
              <w:t>押有证据证明可能危害人体健康的疫苗及其有关材料；对假劣或者质量可疑的疫苗依法采取查封、扣押等措施</w:t>
            </w:r>
          </w:p>
        </w:tc>
        <w:tc>
          <w:tcPr>
            <w:tcW w:w="5657" w:type="dxa"/>
            <w:vMerge w:val="restart"/>
            <w:tcBorders>
              <w:bottom w:val="nil"/>
            </w:tcBorders>
            <w:vAlign w:val="top"/>
          </w:tcPr>
          <w:p w14:paraId="4C5C4C2D">
            <w:pPr>
              <w:spacing w:line="308" w:lineRule="auto"/>
              <w:rPr>
                <w:rFonts w:ascii="Arial"/>
                <w:sz w:val="21"/>
              </w:rPr>
            </w:pPr>
          </w:p>
          <w:p w14:paraId="0897D226">
            <w:pPr>
              <w:spacing w:line="308" w:lineRule="auto"/>
              <w:rPr>
                <w:rFonts w:ascii="Arial"/>
                <w:sz w:val="21"/>
              </w:rPr>
            </w:pPr>
          </w:p>
          <w:p w14:paraId="05F73A7B">
            <w:pPr>
              <w:spacing w:line="309" w:lineRule="auto"/>
              <w:rPr>
                <w:rFonts w:ascii="Arial"/>
                <w:sz w:val="21"/>
              </w:rPr>
            </w:pPr>
          </w:p>
          <w:p w14:paraId="7CFF8DF2">
            <w:pPr>
              <w:pStyle w:val="6"/>
              <w:spacing w:before="62" w:line="310" w:lineRule="auto"/>
              <w:ind w:left="109" w:right="56" w:hanging="1"/>
              <w:jc w:val="both"/>
            </w:pPr>
            <w:r>
              <w:rPr>
                <w:spacing w:val="6"/>
              </w:rPr>
              <w:t>《疫苗流通和预防接种管理条例》</w:t>
            </w:r>
            <w:r>
              <w:rPr>
                <w:spacing w:val="-33"/>
              </w:rPr>
              <w:t xml:space="preserve"> </w:t>
            </w:r>
            <w:r>
              <w:rPr>
                <w:spacing w:val="6"/>
              </w:rPr>
              <w:t>(国务院令第</w:t>
            </w:r>
            <w:r>
              <w:rPr>
                <w:spacing w:val="-30"/>
              </w:rPr>
              <w:t xml:space="preserve"> </w:t>
            </w:r>
            <w:r>
              <w:rPr>
                <w:spacing w:val="5"/>
              </w:rPr>
              <w:t>434</w:t>
            </w:r>
            <w:r>
              <w:rPr>
                <w:spacing w:val="-29"/>
              </w:rPr>
              <w:t xml:space="preserve"> </w:t>
            </w:r>
            <w:r>
              <w:rPr>
                <w:spacing w:val="5"/>
              </w:rPr>
              <w:t>号)第四十</w:t>
            </w:r>
            <w:r>
              <w:rPr>
                <w:spacing w:val="8"/>
              </w:rPr>
              <w:t>九条：</w:t>
            </w:r>
            <w:r>
              <w:rPr>
                <w:spacing w:val="-47"/>
              </w:rPr>
              <w:t xml:space="preserve"> </w:t>
            </w:r>
            <w:r>
              <w:rPr>
                <w:spacing w:val="8"/>
              </w:rPr>
              <w:t>“药品监督管理部门在监督检查中，对有证</w:t>
            </w:r>
            <w:r>
              <w:rPr>
                <w:spacing w:val="7"/>
              </w:rPr>
              <w:t>据证明可能</w:t>
            </w:r>
            <w:r>
              <w:rPr>
                <w:spacing w:val="6"/>
              </w:rPr>
              <w:t>危害人体健康的疫苗及其有关材料可以采取查封、扣押</w:t>
            </w:r>
            <w:r>
              <w:rPr>
                <w:spacing w:val="5"/>
              </w:rPr>
              <w:t>的措施，</w:t>
            </w:r>
            <w:r>
              <w:rPr>
                <w:spacing w:val="7"/>
              </w:rPr>
              <w:t>并在</w:t>
            </w:r>
            <w:r>
              <w:rPr>
                <w:spacing w:val="-27"/>
              </w:rPr>
              <w:t xml:space="preserve"> </w:t>
            </w:r>
            <w:r>
              <w:rPr>
                <w:spacing w:val="7"/>
              </w:rPr>
              <w:t>7 日内作出处理决定；疫苗需要检验的，应当自检验</w:t>
            </w:r>
            <w:r>
              <w:rPr>
                <w:spacing w:val="6"/>
              </w:rPr>
              <w:t>报告</w:t>
            </w:r>
            <w:r>
              <w:rPr>
                <w:spacing w:val="5"/>
              </w:rPr>
              <w:t>书发出之日起</w:t>
            </w:r>
            <w:r>
              <w:rPr>
                <w:spacing w:val="-24"/>
              </w:rPr>
              <w:t xml:space="preserve"> </w:t>
            </w:r>
            <w:r>
              <w:rPr>
                <w:spacing w:val="5"/>
              </w:rPr>
              <w:t>15 日内作出处理决定。疾病预</w:t>
            </w:r>
            <w:r>
              <w:rPr>
                <w:spacing w:val="4"/>
              </w:rPr>
              <w:t>防控制机构、接种</w:t>
            </w:r>
            <w:r>
              <w:rPr>
                <w:spacing w:val="10"/>
              </w:rPr>
              <w:t>单位、疫苗生产企业、疫苗批发企业发现假</w:t>
            </w:r>
            <w:r>
              <w:rPr>
                <w:spacing w:val="9"/>
              </w:rPr>
              <w:t>劣或者质量可疑的</w:t>
            </w:r>
            <w:r>
              <w:rPr>
                <w:spacing w:val="10"/>
              </w:rPr>
              <w:t>疫苗，应当立即停止接种、分发、供应、销</w:t>
            </w:r>
            <w:r>
              <w:rPr>
                <w:spacing w:val="9"/>
              </w:rPr>
              <w:t>售，并立即向所在</w:t>
            </w:r>
            <w:r>
              <w:rPr>
                <w:spacing w:val="10"/>
              </w:rPr>
              <w:t>地的县级人民政府卫生主管部门和药品监督</w:t>
            </w:r>
            <w:r>
              <w:rPr>
                <w:spacing w:val="9"/>
              </w:rPr>
              <w:t>管理部门报告，不</w:t>
            </w:r>
            <w:r>
              <w:rPr>
                <w:spacing w:val="10"/>
              </w:rPr>
              <w:t>得自行处理。接到报告的卫生主管部门应当</w:t>
            </w:r>
            <w:r>
              <w:rPr>
                <w:spacing w:val="9"/>
              </w:rPr>
              <w:t>立即组织疾病预防</w:t>
            </w:r>
            <w:r>
              <w:rPr>
                <w:spacing w:val="8"/>
              </w:rPr>
              <w:t>控制机构和接种单位采取必要的应急处置措施，</w:t>
            </w:r>
            <w:r>
              <w:rPr>
                <w:spacing w:val="-49"/>
              </w:rPr>
              <w:t xml:space="preserve"> </w:t>
            </w:r>
            <w:r>
              <w:rPr>
                <w:spacing w:val="8"/>
              </w:rPr>
              <w:t>同时向上级卫</w:t>
            </w:r>
            <w:r>
              <w:rPr>
                <w:spacing w:val="10"/>
              </w:rPr>
              <w:t>生主管部门报告；接到报告的药品监督管理</w:t>
            </w:r>
            <w:r>
              <w:rPr>
                <w:spacing w:val="9"/>
              </w:rPr>
              <w:t>部门应当对假劣或</w:t>
            </w:r>
            <w:r>
              <w:rPr>
                <w:spacing w:val="12"/>
              </w:rPr>
              <w:t>者质量可疑的疫苗依法采取查封、扣押等措施。</w:t>
            </w:r>
            <w:r>
              <w:rPr>
                <w:spacing w:val="-53"/>
              </w:rPr>
              <w:t xml:space="preserve"> </w:t>
            </w:r>
            <w:r>
              <w:rPr>
                <w:spacing w:val="12"/>
              </w:rPr>
              <w:t>”</w:t>
            </w:r>
          </w:p>
        </w:tc>
        <w:tc>
          <w:tcPr>
            <w:tcW w:w="3843" w:type="dxa"/>
            <w:vAlign w:val="top"/>
          </w:tcPr>
          <w:p w14:paraId="141267EF">
            <w:pPr>
              <w:spacing w:line="276" w:lineRule="auto"/>
              <w:rPr>
                <w:rFonts w:ascii="Arial"/>
                <w:sz w:val="21"/>
              </w:rPr>
            </w:pPr>
          </w:p>
          <w:p w14:paraId="2B848328">
            <w:pPr>
              <w:pStyle w:val="6"/>
              <w:spacing w:before="62" w:line="224" w:lineRule="auto"/>
              <w:ind w:right="14"/>
              <w:jc w:val="right"/>
            </w:pPr>
            <w:r>
              <w:rPr>
                <w:spacing w:val="-1"/>
              </w:rPr>
              <w:t>1、核实违法事实，报行政机关负责人批准。</w:t>
            </w:r>
          </w:p>
        </w:tc>
        <w:tc>
          <w:tcPr>
            <w:tcW w:w="3768" w:type="dxa"/>
            <w:vMerge w:val="restart"/>
            <w:tcBorders>
              <w:bottom w:val="nil"/>
            </w:tcBorders>
            <w:vAlign w:val="top"/>
          </w:tcPr>
          <w:p w14:paraId="0FCFC575">
            <w:pPr>
              <w:spacing w:line="263" w:lineRule="auto"/>
              <w:rPr>
                <w:rFonts w:ascii="Arial"/>
                <w:sz w:val="21"/>
              </w:rPr>
            </w:pPr>
          </w:p>
          <w:p w14:paraId="68AE5AE6">
            <w:pPr>
              <w:spacing w:line="263" w:lineRule="auto"/>
              <w:rPr>
                <w:rFonts w:ascii="Arial"/>
                <w:sz w:val="21"/>
              </w:rPr>
            </w:pPr>
          </w:p>
          <w:p w14:paraId="77979172">
            <w:pPr>
              <w:spacing w:line="264" w:lineRule="auto"/>
              <w:rPr>
                <w:rFonts w:ascii="Arial"/>
                <w:sz w:val="21"/>
              </w:rPr>
            </w:pPr>
          </w:p>
          <w:p w14:paraId="3BE5B4AC">
            <w:pPr>
              <w:spacing w:line="264" w:lineRule="auto"/>
              <w:rPr>
                <w:rFonts w:ascii="Arial"/>
                <w:sz w:val="21"/>
              </w:rPr>
            </w:pPr>
          </w:p>
          <w:p w14:paraId="64AE052F">
            <w:pPr>
              <w:spacing w:line="264" w:lineRule="auto"/>
              <w:rPr>
                <w:rFonts w:ascii="Arial"/>
                <w:sz w:val="21"/>
              </w:rPr>
            </w:pPr>
          </w:p>
          <w:p w14:paraId="03342BE3">
            <w:pPr>
              <w:spacing w:line="264" w:lineRule="auto"/>
              <w:rPr>
                <w:rFonts w:ascii="Arial"/>
                <w:sz w:val="21"/>
              </w:rPr>
            </w:pPr>
          </w:p>
          <w:p w14:paraId="79C8B709">
            <w:pPr>
              <w:spacing w:line="264" w:lineRule="auto"/>
              <w:rPr>
                <w:rFonts w:ascii="Arial"/>
                <w:sz w:val="21"/>
              </w:rPr>
            </w:pPr>
          </w:p>
          <w:p w14:paraId="06D618D1">
            <w:pPr>
              <w:spacing w:line="264" w:lineRule="auto"/>
              <w:rPr>
                <w:rFonts w:ascii="Arial"/>
                <w:sz w:val="21"/>
              </w:rPr>
            </w:pPr>
          </w:p>
          <w:p w14:paraId="1634AA47">
            <w:pPr>
              <w:pStyle w:val="6"/>
              <w:spacing w:before="65" w:line="224" w:lineRule="auto"/>
              <w:ind w:left="535"/>
              <w:rPr>
                <w:sz w:val="20"/>
                <w:szCs w:val="20"/>
              </w:rPr>
            </w:pPr>
            <w:r>
              <w:rPr>
                <w:spacing w:val="22"/>
                <w:sz w:val="20"/>
                <w:szCs w:val="20"/>
              </w:rPr>
              <w:t>行政机关未履行法定职责或者违</w:t>
            </w:r>
          </w:p>
          <w:p w14:paraId="637A215B">
            <w:pPr>
              <w:pStyle w:val="6"/>
              <w:spacing w:before="38" w:line="259" w:lineRule="auto"/>
              <w:ind w:left="119" w:right="54" w:firstLine="3"/>
              <w:jc w:val="both"/>
              <w:rPr>
                <w:sz w:val="20"/>
                <w:szCs w:val="20"/>
              </w:rPr>
            </w:pPr>
            <w:r>
              <w:rPr>
                <w:spacing w:val="-1"/>
                <w:sz w:val="20"/>
                <w:szCs w:val="20"/>
              </w:rPr>
              <w:t>法行使职权的，责令改正；情节严重的，</w:t>
            </w:r>
            <w:r>
              <w:rPr>
                <w:spacing w:val="20"/>
                <w:sz w:val="20"/>
                <w:szCs w:val="20"/>
              </w:rPr>
              <w:t>对直接负责的主管人员和其他直接责</w:t>
            </w:r>
            <w:r>
              <w:rPr>
                <w:spacing w:val="7"/>
                <w:sz w:val="20"/>
                <w:szCs w:val="20"/>
              </w:rPr>
              <w:t>任人员依法给予处分；构成犯罪的，依法追究刑事责任。</w:t>
            </w:r>
          </w:p>
        </w:tc>
      </w:tr>
      <w:tr w14:paraId="48E68B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724" w:type="dxa"/>
            <w:vMerge w:val="continue"/>
            <w:tcBorders>
              <w:top w:val="nil"/>
              <w:bottom w:val="nil"/>
            </w:tcBorders>
            <w:textDirection w:val="tbRlV"/>
            <w:vAlign w:val="top"/>
          </w:tcPr>
          <w:p w14:paraId="179287F7">
            <w:pPr>
              <w:rPr>
                <w:rFonts w:ascii="Arial"/>
                <w:sz w:val="21"/>
              </w:rPr>
            </w:pPr>
          </w:p>
        </w:tc>
        <w:tc>
          <w:tcPr>
            <w:tcW w:w="1260" w:type="dxa"/>
            <w:vMerge w:val="continue"/>
            <w:tcBorders>
              <w:top w:val="nil"/>
              <w:bottom w:val="nil"/>
            </w:tcBorders>
            <w:vAlign w:val="top"/>
          </w:tcPr>
          <w:p w14:paraId="61DFCDB0">
            <w:pPr>
              <w:rPr>
                <w:rFonts w:ascii="Arial"/>
                <w:sz w:val="21"/>
              </w:rPr>
            </w:pPr>
          </w:p>
        </w:tc>
        <w:tc>
          <w:tcPr>
            <w:tcW w:w="5657" w:type="dxa"/>
            <w:vMerge w:val="continue"/>
            <w:tcBorders>
              <w:top w:val="nil"/>
              <w:bottom w:val="nil"/>
            </w:tcBorders>
            <w:vAlign w:val="top"/>
          </w:tcPr>
          <w:p w14:paraId="38E90BEF">
            <w:pPr>
              <w:rPr>
                <w:rFonts w:ascii="Arial"/>
                <w:sz w:val="21"/>
              </w:rPr>
            </w:pPr>
          </w:p>
        </w:tc>
        <w:tc>
          <w:tcPr>
            <w:tcW w:w="3843" w:type="dxa"/>
            <w:vAlign w:val="top"/>
          </w:tcPr>
          <w:p w14:paraId="092D218F">
            <w:pPr>
              <w:spacing w:line="268" w:lineRule="auto"/>
              <w:rPr>
                <w:rFonts w:ascii="Arial"/>
                <w:sz w:val="21"/>
              </w:rPr>
            </w:pPr>
          </w:p>
          <w:p w14:paraId="5ECBFA75">
            <w:pPr>
              <w:pStyle w:val="6"/>
              <w:spacing w:before="62" w:line="224" w:lineRule="auto"/>
              <w:ind w:left="121"/>
            </w:pPr>
            <w:r>
              <w:rPr>
                <w:spacing w:val="7"/>
              </w:rPr>
              <w:t>2、依法作出处理决定。</w:t>
            </w:r>
          </w:p>
        </w:tc>
        <w:tc>
          <w:tcPr>
            <w:tcW w:w="3768" w:type="dxa"/>
            <w:vMerge w:val="continue"/>
            <w:tcBorders>
              <w:top w:val="nil"/>
              <w:bottom w:val="nil"/>
            </w:tcBorders>
            <w:vAlign w:val="top"/>
          </w:tcPr>
          <w:p w14:paraId="26514FEF">
            <w:pPr>
              <w:rPr>
                <w:rFonts w:ascii="Arial"/>
                <w:sz w:val="21"/>
              </w:rPr>
            </w:pPr>
          </w:p>
        </w:tc>
      </w:tr>
      <w:tr w14:paraId="039A6A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0" w:hRule="atLeast"/>
        </w:trPr>
        <w:tc>
          <w:tcPr>
            <w:tcW w:w="724" w:type="dxa"/>
            <w:vMerge w:val="continue"/>
            <w:tcBorders>
              <w:top w:val="nil"/>
              <w:bottom w:val="nil"/>
            </w:tcBorders>
            <w:textDirection w:val="tbRlV"/>
            <w:vAlign w:val="top"/>
          </w:tcPr>
          <w:p w14:paraId="335E372F">
            <w:pPr>
              <w:rPr>
                <w:rFonts w:ascii="Arial"/>
                <w:sz w:val="21"/>
              </w:rPr>
            </w:pPr>
          </w:p>
        </w:tc>
        <w:tc>
          <w:tcPr>
            <w:tcW w:w="1260" w:type="dxa"/>
            <w:vMerge w:val="continue"/>
            <w:tcBorders>
              <w:top w:val="nil"/>
              <w:bottom w:val="nil"/>
            </w:tcBorders>
            <w:vAlign w:val="top"/>
          </w:tcPr>
          <w:p w14:paraId="32FE00B0">
            <w:pPr>
              <w:rPr>
                <w:rFonts w:ascii="Arial"/>
                <w:sz w:val="21"/>
              </w:rPr>
            </w:pPr>
          </w:p>
        </w:tc>
        <w:tc>
          <w:tcPr>
            <w:tcW w:w="5657" w:type="dxa"/>
            <w:vMerge w:val="continue"/>
            <w:tcBorders>
              <w:top w:val="nil"/>
              <w:bottom w:val="nil"/>
            </w:tcBorders>
            <w:vAlign w:val="top"/>
          </w:tcPr>
          <w:p w14:paraId="5A00969C">
            <w:pPr>
              <w:rPr>
                <w:rFonts w:ascii="Arial"/>
                <w:sz w:val="21"/>
              </w:rPr>
            </w:pPr>
          </w:p>
        </w:tc>
        <w:tc>
          <w:tcPr>
            <w:tcW w:w="3843" w:type="dxa"/>
            <w:vAlign w:val="top"/>
          </w:tcPr>
          <w:p w14:paraId="47030A9E">
            <w:pPr>
              <w:pStyle w:val="6"/>
              <w:spacing w:before="63" w:line="293" w:lineRule="auto"/>
              <w:ind w:left="113" w:right="103" w:firstLine="15"/>
              <w:jc w:val="both"/>
            </w:pPr>
            <w:r>
              <w:rPr>
                <w:spacing w:val="4"/>
              </w:rPr>
              <w:t>3、制作笔录，告知当事人采取强制措施的</w:t>
            </w:r>
            <w:r>
              <w:rPr>
                <w:spacing w:val="9"/>
              </w:rPr>
              <w:t>理由、依据及当事人依法享有的权利，并当场交付查封、扣押决定书和清单、实施</w:t>
            </w:r>
            <w:r>
              <w:rPr>
                <w:spacing w:val="6"/>
              </w:rPr>
              <w:t>查封、扣押。</w:t>
            </w:r>
          </w:p>
        </w:tc>
        <w:tc>
          <w:tcPr>
            <w:tcW w:w="3768" w:type="dxa"/>
            <w:vMerge w:val="continue"/>
            <w:tcBorders>
              <w:top w:val="nil"/>
              <w:bottom w:val="nil"/>
            </w:tcBorders>
            <w:vAlign w:val="top"/>
          </w:tcPr>
          <w:p w14:paraId="66B85657">
            <w:pPr>
              <w:rPr>
                <w:rFonts w:ascii="Arial"/>
                <w:sz w:val="21"/>
              </w:rPr>
            </w:pPr>
          </w:p>
        </w:tc>
      </w:tr>
      <w:tr w14:paraId="6179C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5" w:hRule="atLeast"/>
        </w:trPr>
        <w:tc>
          <w:tcPr>
            <w:tcW w:w="724" w:type="dxa"/>
            <w:vMerge w:val="continue"/>
            <w:tcBorders>
              <w:top w:val="nil"/>
              <w:bottom w:val="nil"/>
            </w:tcBorders>
            <w:textDirection w:val="tbRlV"/>
            <w:vAlign w:val="top"/>
          </w:tcPr>
          <w:p w14:paraId="65F7C76C">
            <w:pPr>
              <w:rPr>
                <w:rFonts w:ascii="Arial"/>
                <w:sz w:val="21"/>
              </w:rPr>
            </w:pPr>
          </w:p>
        </w:tc>
        <w:tc>
          <w:tcPr>
            <w:tcW w:w="1260" w:type="dxa"/>
            <w:vMerge w:val="continue"/>
            <w:tcBorders>
              <w:top w:val="nil"/>
              <w:bottom w:val="nil"/>
            </w:tcBorders>
            <w:vAlign w:val="top"/>
          </w:tcPr>
          <w:p w14:paraId="176FCF76">
            <w:pPr>
              <w:rPr>
                <w:rFonts w:ascii="Arial"/>
                <w:sz w:val="21"/>
              </w:rPr>
            </w:pPr>
          </w:p>
        </w:tc>
        <w:tc>
          <w:tcPr>
            <w:tcW w:w="5657" w:type="dxa"/>
            <w:vMerge w:val="continue"/>
            <w:tcBorders>
              <w:top w:val="nil"/>
              <w:bottom w:val="nil"/>
            </w:tcBorders>
            <w:vAlign w:val="top"/>
          </w:tcPr>
          <w:p w14:paraId="609DB693">
            <w:pPr>
              <w:rPr>
                <w:rFonts w:ascii="Arial"/>
                <w:sz w:val="21"/>
              </w:rPr>
            </w:pPr>
          </w:p>
        </w:tc>
        <w:tc>
          <w:tcPr>
            <w:tcW w:w="3843" w:type="dxa"/>
            <w:vAlign w:val="top"/>
          </w:tcPr>
          <w:p w14:paraId="6EB77906">
            <w:pPr>
              <w:pStyle w:val="6"/>
              <w:spacing w:before="64" w:line="310" w:lineRule="auto"/>
              <w:ind w:left="111" w:right="46" w:firstLine="9"/>
              <w:jc w:val="both"/>
            </w:pPr>
            <w:r>
              <w:rPr>
                <w:spacing w:val="5"/>
              </w:rPr>
              <w:t>4、行政机关采取查封、扣押措施后，应当</w:t>
            </w:r>
            <w:r>
              <w:rPr>
                <w:spacing w:val="9"/>
              </w:rPr>
              <w:t>及时查清事实，在《中华人民共和国行政强制法》第二十五条规定的期限内作出处理决定。对违法事实清楚，依法应当没收的非法财物予以没收；法律、行政法规规</w:t>
            </w:r>
            <w:r>
              <w:rPr>
                <w:spacing w:val="3"/>
              </w:rPr>
              <w:t>定应当销毁的，依法销毁；应当解除查封、</w:t>
            </w:r>
            <w:r>
              <w:rPr>
                <w:spacing w:val="9"/>
              </w:rPr>
              <w:t>扣押的，作出解除查封、扣押的决定。</w:t>
            </w:r>
          </w:p>
        </w:tc>
        <w:tc>
          <w:tcPr>
            <w:tcW w:w="3768" w:type="dxa"/>
            <w:vMerge w:val="continue"/>
            <w:tcBorders>
              <w:top w:val="nil"/>
              <w:bottom w:val="nil"/>
            </w:tcBorders>
            <w:vAlign w:val="top"/>
          </w:tcPr>
          <w:p w14:paraId="398ABB2E">
            <w:pPr>
              <w:rPr>
                <w:rFonts w:ascii="Arial"/>
                <w:sz w:val="21"/>
              </w:rPr>
            </w:pPr>
          </w:p>
        </w:tc>
      </w:tr>
      <w:tr w14:paraId="252C2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06A29C37">
            <w:pPr>
              <w:rPr>
                <w:rFonts w:ascii="Arial"/>
                <w:sz w:val="21"/>
              </w:rPr>
            </w:pPr>
          </w:p>
        </w:tc>
        <w:tc>
          <w:tcPr>
            <w:tcW w:w="1260" w:type="dxa"/>
            <w:vMerge w:val="continue"/>
            <w:tcBorders>
              <w:top w:val="nil"/>
            </w:tcBorders>
            <w:vAlign w:val="top"/>
          </w:tcPr>
          <w:p w14:paraId="24B3B4B7">
            <w:pPr>
              <w:rPr>
                <w:rFonts w:ascii="Arial"/>
                <w:sz w:val="21"/>
              </w:rPr>
            </w:pPr>
          </w:p>
        </w:tc>
        <w:tc>
          <w:tcPr>
            <w:tcW w:w="5657" w:type="dxa"/>
            <w:vMerge w:val="continue"/>
            <w:tcBorders>
              <w:top w:val="nil"/>
            </w:tcBorders>
            <w:vAlign w:val="top"/>
          </w:tcPr>
          <w:p w14:paraId="353F2FD4">
            <w:pPr>
              <w:rPr>
                <w:rFonts w:ascii="Arial"/>
                <w:sz w:val="21"/>
              </w:rPr>
            </w:pPr>
          </w:p>
        </w:tc>
        <w:tc>
          <w:tcPr>
            <w:tcW w:w="3843" w:type="dxa"/>
            <w:vAlign w:val="top"/>
          </w:tcPr>
          <w:p w14:paraId="40504F35">
            <w:pPr>
              <w:pStyle w:val="6"/>
              <w:spacing w:before="89" w:line="224" w:lineRule="auto"/>
              <w:ind w:left="123"/>
            </w:pPr>
            <w:r>
              <w:rPr>
                <w:spacing w:val="8"/>
              </w:rPr>
              <w:t>5、其他法律法规规章规定应履行的责任。</w:t>
            </w:r>
          </w:p>
        </w:tc>
        <w:tc>
          <w:tcPr>
            <w:tcW w:w="3768" w:type="dxa"/>
            <w:vMerge w:val="continue"/>
            <w:tcBorders>
              <w:top w:val="nil"/>
            </w:tcBorders>
            <w:vAlign w:val="top"/>
          </w:tcPr>
          <w:p w14:paraId="112E0CB4">
            <w:pPr>
              <w:rPr>
                <w:rFonts w:ascii="Arial"/>
                <w:sz w:val="21"/>
              </w:rPr>
            </w:pPr>
          </w:p>
        </w:tc>
      </w:tr>
      <w:tr w14:paraId="0358B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2E40539E">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A68A4B7">
      <w:pPr>
        <w:pStyle w:val="2"/>
      </w:pPr>
    </w:p>
    <w:p w14:paraId="0C9F383E">
      <w:pPr>
        <w:sectPr>
          <w:footerReference r:id="rId17" w:type="default"/>
          <w:pgSz w:w="16839" w:h="11906"/>
          <w:pgMar w:top="1012" w:right="685" w:bottom="1213" w:left="895" w:header="0" w:footer="938" w:gutter="0"/>
          <w:cols w:space="720" w:num="1"/>
        </w:sectPr>
      </w:pPr>
    </w:p>
    <w:p w14:paraId="2E13067D">
      <w:pPr>
        <w:spacing w:before="36"/>
      </w:pPr>
    </w:p>
    <w:p w14:paraId="29B806B1">
      <w:pPr>
        <w:spacing w:before="36"/>
      </w:pPr>
    </w:p>
    <w:p w14:paraId="3FFB5912">
      <w:pPr>
        <w:spacing w:before="36"/>
      </w:pPr>
    </w:p>
    <w:p w14:paraId="29AB63FE">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19304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E2CF78B">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24D66CD">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5AE3612">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72DA5AEF">
            <w:pPr>
              <w:spacing w:before="190"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4235A2D0">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0C9C3372">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E6C5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 w:hRule="atLeast"/>
        </w:trPr>
        <w:tc>
          <w:tcPr>
            <w:tcW w:w="724" w:type="dxa"/>
            <w:vMerge w:val="restart"/>
            <w:tcBorders>
              <w:bottom w:val="nil"/>
            </w:tcBorders>
            <w:textDirection w:val="tbRlV"/>
            <w:vAlign w:val="top"/>
          </w:tcPr>
          <w:p w14:paraId="5FB1E8CB">
            <w:pPr>
              <w:pStyle w:val="6"/>
              <w:spacing w:before="255" w:line="213" w:lineRule="auto"/>
              <w:ind w:left="2050"/>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2ACFB193">
            <w:pPr>
              <w:spacing w:line="266" w:lineRule="auto"/>
              <w:rPr>
                <w:rFonts w:ascii="Arial"/>
                <w:sz w:val="21"/>
              </w:rPr>
            </w:pPr>
          </w:p>
          <w:p w14:paraId="15E05527">
            <w:pPr>
              <w:spacing w:line="266" w:lineRule="auto"/>
              <w:rPr>
                <w:rFonts w:ascii="Arial"/>
                <w:sz w:val="21"/>
              </w:rPr>
            </w:pPr>
          </w:p>
          <w:p w14:paraId="7B3E2547">
            <w:pPr>
              <w:spacing w:line="266" w:lineRule="auto"/>
              <w:rPr>
                <w:rFonts w:ascii="Arial"/>
                <w:sz w:val="21"/>
              </w:rPr>
            </w:pPr>
          </w:p>
          <w:p w14:paraId="2C930F1E">
            <w:pPr>
              <w:spacing w:line="266" w:lineRule="auto"/>
              <w:rPr>
                <w:rFonts w:ascii="Arial"/>
                <w:sz w:val="21"/>
              </w:rPr>
            </w:pPr>
          </w:p>
          <w:p w14:paraId="00473EC5">
            <w:pPr>
              <w:spacing w:line="267" w:lineRule="auto"/>
              <w:rPr>
                <w:rFonts w:ascii="Arial"/>
                <w:sz w:val="21"/>
              </w:rPr>
            </w:pPr>
          </w:p>
          <w:p w14:paraId="3E512A61">
            <w:pPr>
              <w:spacing w:line="267" w:lineRule="auto"/>
              <w:rPr>
                <w:rFonts w:ascii="Arial"/>
                <w:sz w:val="21"/>
              </w:rPr>
            </w:pPr>
          </w:p>
          <w:p w14:paraId="6E3A614D">
            <w:pPr>
              <w:pStyle w:val="6"/>
              <w:spacing w:before="62" w:line="310" w:lineRule="auto"/>
              <w:ind w:left="106" w:right="107" w:firstLine="17"/>
              <w:jc w:val="both"/>
            </w:pPr>
            <w:r>
              <w:rPr>
                <w:spacing w:val="-4"/>
              </w:rPr>
              <w:t>14.查封、扣</w:t>
            </w:r>
            <w:r>
              <w:rPr>
                <w:spacing w:val="9"/>
              </w:rPr>
              <w:t>押有证据证明可能流入非法渠道的麻醉药品和精神药品</w:t>
            </w:r>
          </w:p>
        </w:tc>
        <w:tc>
          <w:tcPr>
            <w:tcW w:w="3307" w:type="dxa"/>
            <w:vMerge w:val="restart"/>
            <w:tcBorders>
              <w:bottom w:val="nil"/>
            </w:tcBorders>
            <w:vAlign w:val="top"/>
          </w:tcPr>
          <w:p w14:paraId="527636E9">
            <w:pPr>
              <w:spacing w:line="268" w:lineRule="auto"/>
              <w:rPr>
                <w:rFonts w:ascii="Arial"/>
                <w:sz w:val="21"/>
              </w:rPr>
            </w:pPr>
          </w:p>
          <w:p w14:paraId="288E297E">
            <w:pPr>
              <w:spacing w:line="268" w:lineRule="auto"/>
              <w:rPr>
                <w:rFonts w:ascii="Arial"/>
                <w:sz w:val="21"/>
              </w:rPr>
            </w:pPr>
          </w:p>
          <w:p w14:paraId="19ADFB51">
            <w:pPr>
              <w:spacing w:line="269" w:lineRule="auto"/>
              <w:rPr>
                <w:rFonts w:ascii="Arial"/>
                <w:sz w:val="21"/>
              </w:rPr>
            </w:pPr>
          </w:p>
          <w:p w14:paraId="0B9061F6">
            <w:pPr>
              <w:pStyle w:val="6"/>
              <w:spacing w:before="62" w:line="310" w:lineRule="auto"/>
              <w:ind w:left="108" w:right="198" w:firstLine="400"/>
              <w:jc w:val="both"/>
            </w:pPr>
            <w:r>
              <w:rPr>
                <w:spacing w:val="9"/>
              </w:rPr>
              <w:t>《麻醉药品和精神药品管理条</w:t>
            </w:r>
            <w:r>
              <w:rPr>
                <w:spacing w:val="2"/>
              </w:rPr>
              <w:t>例》</w:t>
            </w:r>
            <w:r>
              <w:rPr>
                <w:spacing w:val="-24"/>
              </w:rPr>
              <w:t xml:space="preserve"> </w:t>
            </w:r>
            <w:r>
              <w:rPr>
                <w:spacing w:val="2"/>
              </w:rPr>
              <w:t>(国务院令第</w:t>
            </w:r>
            <w:r>
              <w:rPr>
                <w:spacing w:val="-27"/>
              </w:rPr>
              <w:t xml:space="preserve"> </w:t>
            </w:r>
            <w:r>
              <w:rPr>
                <w:spacing w:val="2"/>
              </w:rPr>
              <w:t>442</w:t>
            </w:r>
            <w:r>
              <w:rPr>
                <w:spacing w:val="-29"/>
              </w:rPr>
              <w:t xml:space="preserve"> </w:t>
            </w:r>
            <w:r>
              <w:rPr>
                <w:spacing w:val="2"/>
              </w:rPr>
              <w:t>号)第六十条</w:t>
            </w:r>
            <w:r>
              <w:rPr>
                <w:spacing w:val="5"/>
              </w:rPr>
              <w:t>第二款：</w:t>
            </w:r>
            <w:r>
              <w:rPr>
                <w:spacing w:val="-47"/>
              </w:rPr>
              <w:t xml:space="preserve"> </w:t>
            </w:r>
            <w:r>
              <w:rPr>
                <w:spacing w:val="5"/>
              </w:rPr>
              <w:t>“</w:t>
            </w:r>
            <w:r>
              <w:rPr>
                <w:spacing w:val="-74"/>
              </w:rPr>
              <w:t xml:space="preserve"> </w:t>
            </w:r>
            <w:r>
              <w:rPr>
                <w:spacing w:val="5"/>
              </w:rPr>
              <w:t>药品监督管理部门、卫</w:t>
            </w:r>
            <w:r>
              <w:rPr>
                <w:spacing w:val="9"/>
              </w:rPr>
              <w:t>生主管部门发现生产、经营企业和使用单位的麻醉药品和精神药品管理存在安全隐患时，应当责令其立即排除或者限期排除；对有证据证明可能流入非法渠道的，应当及时采取查封、扣押的行政强制措施，</w:t>
            </w:r>
            <w:r>
              <w:rPr>
                <w:spacing w:val="4"/>
              </w:rPr>
              <w:t>在</w:t>
            </w:r>
            <w:r>
              <w:rPr>
                <w:spacing w:val="-15"/>
              </w:rPr>
              <w:t xml:space="preserve"> </w:t>
            </w:r>
            <w:r>
              <w:rPr>
                <w:spacing w:val="4"/>
              </w:rPr>
              <w:t>7 日内作出行政处理决定，并通</w:t>
            </w:r>
            <w:r>
              <w:rPr>
                <w:spacing w:val="16"/>
              </w:rPr>
              <w:t>报同级公安机关。</w:t>
            </w:r>
            <w:r>
              <w:rPr>
                <w:spacing w:val="-60"/>
              </w:rPr>
              <w:t xml:space="preserve"> </w:t>
            </w:r>
            <w:r>
              <w:rPr>
                <w:spacing w:val="16"/>
              </w:rPr>
              <w:t>”</w:t>
            </w:r>
          </w:p>
        </w:tc>
        <w:tc>
          <w:tcPr>
            <w:tcW w:w="6193" w:type="dxa"/>
            <w:vAlign w:val="top"/>
          </w:tcPr>
          <w:p w14:paraId="16AC415D">
            <w:pPr>
              <w:spacing w:line="323" w:lineRule="auto"/>
              <w:rPr>
                <w:rFonts w:ascii="Arial"/>
                <w:sz w:val="21"/>
              </w:rPr>
            </w:pPr>
          </w:p>
          <w:p w14:paraId="5ABD0DC3">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5DD7FC54">
            <w:pPr>
              <w:spacing w:line="264" w:lineRule="auto"/>
              <w:rPr>
                <w:rFonts w:ascii="Arial"/>
                <w:sz w:val="21"/>
              </w:rPr>
            </w:pPr>
          </w:p>
          <w:p w14:paraId="77D3098A">
            <w:pPr>
              <w:spacing w:line="264" w:lineRule="auto"/>
              <w:rPr>
                <w:rFonts w:ascii="Arial"/>
                <w:sz w:val="21"/>
              </w:rPr>
            </w:pPr>
          </w:p>
          <w:p w14:paraId="4D546FE2">
            <w:pPr>
              <w:spacing w:line="264" w:lineRule="auto"/>
              <w:rPr>
                <w:rFonts w:ascii="Arial"/>
                <w:sz w:val="21"/>
              </w:rPr>
            </w:pPr>
          </w:p>
          <w:p w14:paraId="3E72ED17">
            <w:pPr>
              <w:spacing w:line="264" w:lineRule="auto"/>
              <w:rPr>
                <w:rFonts w:ascii="Arial"/>
                <w:sz w:val="21"/>
              </w:rPr>
            </w:pPr>
          </w:p>
          <w:p w14:paraId="6EE3E15C">
            <w:pPr>
              <w:spacing w:line="264" w:lineRule="auto"/>
              <w:rPr>
                <w:rFonts w:ascii="Arial"/>
                <w:sz w:val="21"/>
              </w:rPr>
            </w:pPr>
          </w:p>
          <w:p w14:paraId="64250538">
            <w:pPr>
              <w:spacing w:line="264" w:lineRule="auto"/>
              <w:rPr>
                <w:rFonts w:ascii="Arial"/>
                <w:sz w:val="21"/>
              </w:rPr>
            </w:pPr>
          </w:p>
          <w:p w14:paraId="17177DFB">
            <w:pPr>
              <w:spacing w:line="264" w:lineRule="auto"/>
              <w:rPr>
                <w:rFonts w:ascii="Arial"/>
                <w:sz w:val="21"/>
              </w:rPr>
            </w:pPr>
          </w:p>
          <w:p w14:paraId="2EFA47A1">
            <w:pPr>
              <w:spacing w:line="264" w:lineRule="auto"/>
              <w:rPr>
                <w:rFonts w:ascii="Arial"/>
                <w:sz w:val="21"/>
              </w:rPr>
            </w:pPr>
          </w:p>
          <w:p w14:paraId="787B760C">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42147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724" w:type="dxa"/>
            <w:vMerge w:val="continue"/>
            <w:tcBorders>
              <w:top w:val="nil"/>
              <w:bottom w:val="nil"/>
            </w:tcBorders>
            <w:textDirection w:val="tbRlV"/>
            <w:vAlign w:val="top"/>
          </w:tcPr>
          <w:p w14:paraId="4D6FAAE3">
            <w:pPr>
              <w:rPr>
                <w:rFonts w:ascii="Arial"/>
                <w:sz w:val="21"/>
              </w:rPr>
            </w:pPr>
          </w:p>
        </w:tc>
        <w:tc>
          <w:tcPr>
            <w:tcW w:w="1260" w:type="dxa"/>
            <w:vMerge w:val="continue"/>
            <w:tcBorders>
              <w:top w:val="nil"/>
              <w:bottom w:val="nil"/>
            </w:tcBorders>
            <w:vAlign w:val="top"/>
          </w:tcPr>
          <w:p w14:paraId="7FE7584D">
            <w:pPr>
              <w:rPr>
                <w:rFonts w:ascii="Arial"/>
                <w:sz w:val="21"/>
              </w:rPr>
            </w:pPr>
          </w:p>
        </w:tc>
        <w:tc>
          <w:tcPr>
            <w:tcW w:w="3307" w:type="dxa"/>
            <w:vMerge w:val="continue"/>
            <w:tcBorders>
              <w:top w:val="nil"/>
              <w:bottom w:val="nil"/>
            </w:tcBorders>
            <w:vAlign w:val="top"/>
          </w:tcPr>
          <w:p w14:paraId="72A58D27">
            <w:pPr>
              <w:rPr>
                <w:rFonts w:ascii="Arial"/>
                <w:sz w:val="21"/>
              </w:rPr>
            </w:pPr>
          </w:p>
        </w:tc>
        <w:tc>
          <w:tcPr>
            <w:tcW w:w="6193" w:type="dxa"/>
            <w:vAlign w:val="top"/>
          </w:tcPr>
          <w:p w14:paraId="70D01826">
            <w:pPr>
              <w:spacing w:line="268" w:lineRule="auto"/>
              <w:rPr>
                <w:rFonts w:ascii="Arial"/>
                <w:sz w:val="21"/>
              </w:rPr>
            </w:pPr>
          </w:p>
          <w:p w14:paraId="2DE8B74B">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4FECBD0F">
            <w:pPr>
              <w:rPr>
                <w:rFonts w:ascii="Arial"/>
                <w:sz w:val="21"/>
              </w:rPr>
            </w:pPr>
          </w:p>
        </w:tc>
      </w:tr>
      <w:tr w14:paraId="07DE1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205B9201">
            <w:pPr>
              <w:rPr>
                <w:rFonts w:ascii="Arial"/>
                <w:sz w:val="21"/>
              </w:rPr>
            </w:pPr>
          </w:p>
        </w:tc>
        <w:tc>
          <w:tcPr>
            <w:tcW w:w="1260" w:type="dxa"/>
            <w:vMerge w:val="continue"/>
            <w:tcBorders>
              <w:top w:val="nil"/>
              <w:bottom w:val="nil"/>
            </w:tcBorders>
            <w:vAlign w:val="top"/>
          </w:tcPr>
          <w:p w14:paraId="5796B033">
            <w:pPr>
              <w:rPr>
                <w:rFonts w:ascii="Arial"/>
                <w:sz w:val="21"/>
              </w:rPr>
            </w:pPr>
          </w:p>
        </w:tc>
        <w:tc>
          <w:tcPr>
            <w:tcW w:w="3307" w:type="dxa"/>
            <w:vMerge w:val="continue"/>
            <w:tcBorders>
              <w:top w:val="nil"/>
              <w:bottom w:val="nil"/>
            </w:tcBorders>
            <w:vAlign w:val="top"/>
          </w:tcPr>
          <w:p w14:paraId="2FD15E52">
            <w:pPr>
              <w:rPr>
                <w:rFonts w:ascii="Arial"/>
                <w:sz w:val="21"/>
              </w:rPr>
            </w:pPr>
          </w:p>
        </w:tc>
        <w:tc>
          <w:tcPr>
            <w:tcW w:w="6193" w:type="dxa"/>
            <w:vAlign w:val="top"/>
          </w:tcPr>
          <w:p w14:paraId="37D7FC16">
            <w:pPr>
              <w:spacing w:line="313" w:lineRule="auto"/>
              <w:rPr>
                <w:rFonts w:ascii="Arial"/>
                <w:sz w:val="21"/>
              </w:rPr>
            </w:pPr>
          </w:p>
          <w:p w14:paraId="775CD51C">
            <w:pPr>
              <w:pStyle w:val="6"/>
              <w:spacing w:before="61"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3965B60E">
            <w:pPr>
              <w:rPr>
                <w:rFonts w:ascii="Arial"/>
                <w:sz w:val="21"/>
              </w:rPr>
            </w:pPr>
          </w:p>
        </w:tc>
      </w:tr>
      <w:tr w14:paraId="4754D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376A8F0F">
            <w:pPr>
              <w:rPr>
                <w:rFonts w:ascii="Arial"/>
                <w:sz w:val="21"/>
              </w:rPr>
            </w:pPr>
          </w:p>
        </w:tc>
        <w:tc>
          <w:tcPr>
            <w:tcW w:w="1260" w:type="dxa"/>
            <w:vMerge w:val="continue"/>
            <w:tcBorders>
              <w:top w:val="nil"/>
              <w:bottom w:val="nil"/>
            </w:tcBorders>
            <w:vAlign w:val="top"/>
          </w:tcPr>
          <w:p w14:paraId="4917E99A">
            <w:pPr>
              <w:rPr>
                <w:rFonts w:ascii="Arial"/>
                <w:sz w:val="21"/>
              </w:rPr>
            </w:pPr>
          </w:p>
        </w:tc>
        <w:tc>
          <w:tcPr>
            <w:tcW w:w="3307" w:type="dxa"/>
            <w:vMerge w:val="continue"/>
            <w:tcBorders>
              <w:top w:val="nil"/>
              <w:bottom w:val="nil"/>
            </w:tcBorders>
            <w:vAlign w:val="top"/>
          </w:tcPr>
          <w:p w14:paraId="23D2E4FC">
            <w:pPr>
              <w:rPr>
                <w:rFonts w:ascii="Arial"/>
                <w:sz w:val="21"/>
              </w:rPr>
            </w:pPr>
          </w:p>
        </w:tc>
        <w:tc>
          <w:tcPr>
            <w:tcW w:w="6193" w:type="dxa"/>
            <w:vAlign w:val="top"/>
          </w:tcPr>
          <w:p w14:paraId="427BF367">
            <w:pPr>
              <w:pStyle w:val="6"/>
              <w:spacing w:before="67"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7A939F17">
            <w:pPr>
              <w:rPr>
                <w:rFonts w:ascii="Arial"/>
                <w:sz w:val="21"/>
              </w:rPr>
            </w:pPr>
          </w:p>
        </w:tc>
      </w:tr>
      <w:tr w14:paraId="059B5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354F241D">
            <w:pPr>
              <w:rPr>
                <w:rFonts w:ascii="Arial"/>
                <w:sz w:val="21"/>
              </w:rPr>
            </w:pPr>
          </w:p>
        </w:tc>
        <w:tc>
          <w:tcPr>
            <w:tcW w:w="1260" w:type="dxa"/>
            <w:vMerge w:val="continue"/>
            <w:tcBorders>
              <w:top w:val="nil"/>
            </w:tcBorders>
            <w:vAlign w:val="top"/>
          </w:tcPr>
          <w:p w14:paraId="1752B77A">
            <w:pPr>
              <w:rPr>
                <w:rFonts w:ascii="Arial"/>
                <w:sz w:val="21"/>
              </w:rPr>
            </w:pPr>
          </w:p>
        </w:tc>
        <w:tc>
          <w:tcPr>
            <w:tcW w:w="3307" w:type="dxa"/>
            <w:vMerge w:val="continue"/>
            <w:tcBorders>
              <w:top w:val="nil"/>
            </w:tcBorders>
            <w:vAlign w:val="top"/>
          </w:tcPr>
          <w:p w14:paraId="399E5ACD">
            <w:pPr>
              <w:rPr>
                <w:rFonts w:ascii="Arial"/>
                <w:sz w:val="21"/>
              </w:rPr>
            </w:pPr>
          </w:p>
        </w:tc>
        <w:tc>
          <w:tcPr>
            <w:tcW w:w="6193" w:type="dxa"/>
            <w:vAlign w:val="top"/>
          </w:tcPr>
          <w:p w14:paraId="31370604">
            <w:pPr>
              <w:pStyle w:val="6"/>
              <w:spacing w:before="89" w:line="224" w:lineRule="auto"/>
              <w:ind w:left="121"/>
            </w:pPr>
            <w:r>
              <w:rPr>
                <w:spacing w:val="8"/>
              </w:rPr>
              <w:t>5、其他法律法规规章规定应履行的责任。</w:t>
            </w:r>
          </w:p>
        </w:tc>
        <w:tc>
          <w:tcPr>
            <w:tcW w:w="3768" w:type="dxa"/>
            <w:vMerge w:val="continue"/>
            <w:tcBorders>
              <w:top w:val="nil"/>
            </w:tcBorders>
            <w:vAlign w:val="top"/>
          </w:tcPr>
          <w:p w14:paraId="69C8008D">
            <w:pPr>
              <w:rPr>
                <w:rFonts w:ascii="Arial"/>
                <w:sz w:val="21"/>
              </w:rPr>
            </w:pPr>
          </w:p>
        </w:tc>
      </w:tr>
      <w:tr w14:paraId="72C7D5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266A5689">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45D9A4D0">
      <w:pPr>
        <w:pStyle w:val="2"/>
      </w:pPr>
    </w:p>
    <w:p w14:paraId="4954FCFF">
      <w:pPr>
        <w:sectPr>
          <w:footerReference r:id="rId18" w:type="default"/>
          <w:pgSz w:w="16839" w:h="11906"/>
          <w:pgMar w:top="1012" w:right="685" w:bottom="1213" w:left="895" w:header="0" w:footer="937" w:gutter="0"/>
          <w:cols w:space="720" w:num="1"/>
        </w:sectPr>
      </w:pPr>
    </w:p>
    <w:p w14:paraId="368EEAAB">
      <w:pPr>
        <w:spacing w:before="36"/>
      </w:pPr>
    </w:p>
    <w:p w14:paraId="211F1DF6">
      <w:pPr>
        <w:spacing w:before="36"/>
      </w:pPr>
    </w:p>
    <w:p w14:paraId="54E3F317">
      <w:pPr>
        <w:spacing w:before="36"/>
      </w:pPr>
    </w:p>
    <w:p w14:paraId="347E458D">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188"/>
        <w:gridCol w:w="5312"/>
        <w:gridCol w:w="3768"/>
      </w:tblGrid>
      <w:tr w14:paraId="10C2F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06C9F927">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0F69DAF">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9DAD35B">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188" w:type="dxa"/>
            <w:vAlign w:val="top"/>
          </w:tcPr>
          <w:p w14:paraId="61AE7E36">
            <w:pPr>
              <w:spacing w:before="190" w:line="228" w:lineRule="auto"/>
              <w:ind w:left="1681"/>
              <w:rPr>
                <w:rFonts w:ascii="宋体" w:hAnsi="宋体" w:eastAsia="宋体" w:cs="宋体"/>
                <w:sz w:val="20"/>
                <w:szCs w:val="20"/>
              </w:rPr>
            </w:pPr>
            <w:r>
              <w:rPr>
                <w:rFonts w:ascii="宋体" w:hAnsi="宋体" w:eastAsia="宋体" w:cs="宋体"/>
                <w:b/>
                <w:bCs/>
                <w:spacing w:val="5"/>
                <w:sz w:val="20"/>
                <w:szCs w:val="20"/>
              </w:rPr>
              <w:t>实施依据</w:t>
            </w:r>
          </w:p>
        </w:tc>
        <w:tc>
          <w:tcPr>
            <w:tcW w:w="5312" w:type="dxa"/>
            <w:vAlign w:val="top"/>
          </w:tcPr>
          <w:p w14:paraId="387151CE">
            <w:pPr>
              <w:spacing w:before="190" w:line="228" w:lineRule="auto"/>
              <w:ind w:left="166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2029FB38">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2DFEC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724" w:type="dxa"/>
            <w:vMerge w:val="restart"/>
            <w:tcBorders>
              <w:bottom w:val="nil"/>
            </w:tcBorders>
            <w:textDirection w:val="tbRlV"/>
            <w:vAlign w:val="top"/>
          </w:tcPr>
          <w:p w14:paraId="6263ADCE">
            <w:pPr>
              <w:pStyle w:val="6"/>
              <w:spacing w:before="255" w:line="213" w:lineRule="auto"/>
              <w:ind w:left="2038"/>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12962A4A">
            <w:pPr>
              <w:spacing w:line="249" w:lineRule="auto"/>
              <w:rPr>
                <w:rFonts w:ascii="Arial"/>
                <w:sz w:val="21"/>
              </w:rPr>
            </w:pPr>
          </w:p>
          <w:p w14:paraId="399439D0">
            <w:pPr>
              <w:spacing w:line="249" w:lineRule="auto"/>
              <w:rPr>
                <w:rFonts w:ascii="Arial"/>
                <w:sz w:val="21"/>
              </w:rPr>
            </w:pPr>
          </w:p>
          <w:p w14:paraId="3275C960">
            <w:pPr>
              <w:spacing w:line="249" w:lineRule="auto"/>
              <w:rPr>
                <w:rFonts w:ascii="Arial"/>
                <w:sz w:val="21"/>
              </w:rPr>
            </w:pPr>
          </w:p>
          <w:p w14:paraId="013858CD">
            <w:pPr>
              <w:spacing w:line="249" w:lineRule="auto"/>
              <w:rPr>
                <w:rFonts w:ascii="Arial"/>
                <w:sz w:val="21"/>
              </w:rPr>
            </w:pPr>
          </w:p>
          <w:p w14:paraId="6FBB8E8E">
            <w:pPr>
              <w:spacing w:line="250" w:lineRule="auto"/>
              <w:rPr>
                <w:rFonts w:ascii="Arial"/>
                <w:sz w:val="21"/>
              </w:rPr>
            </w:pPr>
          </w:p>
          <w:p w14:paraId="5E69E8F9">
            <w:pPr>
              <w:spacing w:line="250" w:lineRule="auto"/>
              <w:rPr>
                <w:rFonts w:ascii="Arial"/>
                <w:sz w:val="21"/>
              </w:rPr>
            </w:pPr>
          </w:p>
          <w:p w14:paraId="2ACD59BD">
            <w:pPr>
              <w:spacing w:line="250" w:lineRule="auto"/>
              <w:rPr>
                <w:rFonts w:ascii="Arial"/>
                <w:sz w:val="21"/>
              </w:rPr>
            </w:pPr>
          </w:p>
          <w:p w14:paraId="5899B3F7">
            <w:pPr>
              <w:pStyle w:val="6"/>
              <w:spacing w:before="62" w:line="310" w:lineRule="auto"/>
              <w:ind w:left="114" w:right="153" w:firstLine="9"/>
              <w:jc w:val="both"/>
            </w:pPr>
            <w:r>
              <w:rPr>
                <w:spacing w:val="4"/>
              </w:rPr>
              <w:t>15.扣押相</w:t>
            </w:r>
            <w:r>
              <w:rPr>
                <w:spacing w:val="7"/>
              </w:rPr>
              <w:t>关的证据材料和违法物品；临时查封有关场所</w:t>
            </w:r>
          </w:p>
        </w:tc>
        <w:tc>
          <w:tcPr>
            <w:tcW w:w="4188" w:type="dxa"/>
            <w:vMerge w:val="restart"/>
            <w:tcBorders>
              <w:bottom w:val="nil"/>
            </w:tcBorders>
            <w:vAlign w:val="top"/>
          </w:tcPr>
          <w:p w14:paraId="5FBC8A9F">
            <w:pPr>
              <w:pStyle w:val="6"/>
              <w:spacing w:before="64" w:line="310" w:lineRule="auto"/>
              <w:ind w:left="109" w:right="47" w:firstLine="399"/>
            </w:pPr>
            <w:r>
              <w:rPr>
                <w:spacing w:val="5"/>
              </w:rPr>
              <w:t>《易制毒化学品管理条例》</w:t>
            </w:r>
            <w:r>
              <w:rPr>
                <w:spacing w:val="-17"/>
              </w:rPr>
              <w:t xml:space="preserve"> </w:t>
            </w:r>
            <w:r>
              <w:rPr>
                <w:spacing w:val="5"/>
              </w:rPr>
              <w:t>(国务院令第</w:t>
            </w:r>
            <w:r>
              <w:t xml:space="preserve"> </w:t>
            </w:r>
            <w:r>
              <w:rPr>
                <w:spacing w:val="4"/>
              </w:rPr>
              <w:t>445</w:t>
            </w:r>
            <w:r>
              <w:rPr>
                <w:spacing w:val="-19"/>
              </w:rPr>
              <w:t xml:space="preserve"> </w:t>
            </w:r>
            <w:r>
              <w:rPr>
                <w:spacing w:val="4"/>
              </w:rPr>
              <w:t>号)第三十二条：“县级以上人民政府公安</w:t>
            </w:r>
            <w:r>
              <w:rPr>
                <w:spacing w:val="8"/>
              </w:rPr>
              <w:t>机关、食品药品监督管理部门、安全生产监督管理部门、商务主管部门、卫生主管部门、价</w:t>
            </w:r>
            <w:r>
              <w:rPr>
                <w:spacing w:val="10"/>
              </w:rPr>
              <w:t>格主管部门、铁路主管部门、交通主管部门、</w:t>
            </w:r>
            <w:r>
              <w:rPr>
                <w:spacing w:val="9"/>
              </w:rPr>
              <w:t>工商行政管理部门、环境保护主管部门和海</w:t>
            </w:r>
            <w:r>
              <w:rPr>
                <w:spacing w:val="3"/>
              </w:rPr>
              <w:t xml:space="preserve"> </w:t>
            </w:r>
            <w:r>
              <w:rPr>
                <w:spacing w:val="8"/>
              </w:rPr>
              <w:t>关，应当依照本条例和有关法律、行政法规的规定，在各自的职责范围内，加强对易制毒化</w:t>
            </w:r>
            <w:r>
              <w:rPr>
                <w:spacing w:val="-1"/>
              </w:rPr>
              <w:t>学品生产、经营、购买、运输、价格以及进</w:t>
            </w:r>
            <w:r>
              <w:rPr>
                <w:spacing w:val="-40"/>
              </w:rPr>
              <w:t xml:space="preserve"> </w:t>
            </w:r>
            <w:r>
              <w:rPr>
                <w:spacing w:val="-1"/>
              </w:rPr>
              <w:t>口、</w:t>
            </w:r>
            <w:r>
              <w:rPr>
                <w:spacing w:val="8"/>
              </w:rPr>
              <w:t>出</w:t>
            </w:r>
            <w:r>
              <w:rPr>
                <w:spacing w:val="-49"/>
              </w:rPr>
              <w:t xml:space="preserve"> </w:t>
            </w:r>
            <w:r>
              <w:rPr>
                <w:spacing w:val="8"/>
              </w:rPr>
              <w:t>口的监督检查；对非法生产、经营、购买、运输易制毒化学品，或者走私易制毒化学品的行为，依法予以查处。前款规定的行政主管部门在进行易制毒化学品监督检查时，可以依法查看现场、查阅和复制有关资料、记录有关情</w:t>
            </w:r>
            <w:r>
              <w:rPr>
                <w:spacing w:val="1"/>
              </w:rPr>
              <w:t>况、扣押相关的证据材料和违法物品；必要时，</w:t>
            </w:r>
            <w:r>
              <w:rPr>
                <w:spacing w:val="14"/>
              </w:rPr>
              <w:t>可以临时查封有关场所。</w:t>
            </w:r>
            <w:r>
              <w:rPr>
                <w:spacing w:val="-56"/>
              </w:rPr>
              <w:t xml:space="preserve"> </w:t>
            </w:r>
            <w:r>
              <w:rPr>
                <w:spacing w:val="14"/>
              </w:rPr>
              <w:t>”</w:t>
            </w:r>
          </w:p>
        </w:tc>
        <w:tc>
          <w:tcPr>
            <w:tcW w:w="5312" w:type="dxa"/>
            <w:vAlign w:val="top"/>
          </w:tcPr>
          <w:p w14:paraId="31DFF3A9">
            <w:pPr>
              <w:spacing w:line="263" w:lineRule="auto"/>
              <w:rPr>
                <w:rFonts w:ascii="Arial"/>
                <w:sz w:val="21"/>
              </w:rPr>
            </w:pPr>
          </w:p>
          <w:p w14:paraId="504AF5E5">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0F162115">
            <w:pPr>
              <w:spacing w:line="262" w:lineRule="auto"/>
              <w:rPr>
                <w:rFonts w:ascii="Arial"/>
                <w:sz w:val="21"/>
              </w:rPr>
            </w:pPr>
          </w:p>
          <w:p w14:paraId="56C4B2E5">
            <w:pPr>
              <w:spacing w:line="262" w:lineRule="auto"/>
              <w:rPr>
                <w:rFonts w:ascii="Arial"/>
                <w:sz w:val="21"/>
              </w:rPr>
            </w:pPr>
          </w:p>
          <w:p w14:paraId="0197BF50">
            <w:pPr>
              <w:spacing w:line="262" w:lineRule="auto"/>
              <w:rPr>
                <w:rFonts w:ascii="Arial"/>
                <w:sz w:val="21"/>
              </w:rPr>
            </w:pPr>
          </w:p>
          <w:p w14:paraId="4C0ECC3F">
            <w:pPr>
              <w:spacing w:line="262" w:lineRule="auto"/>
              <w:rPr>
                <w:rFonts w:ascii="Arial"/>
                <w:sz w:val="21"/>
              </w:rPr>
            </w:pPr>
          </w:p>
          <w:p w14:paraId="6ABBA431">
            <w:pPr>
              <w:spacing w:line="263" w:lineRule="auto"/>
              <w:rPr>
                <w:rFonts w:ascii="Arial"/>
                <w:sz w:val="21"/>
              </w:rPr>
            </w:pPr>
          </w:p>
          <w:p w14:paraId="49FD8169">
            <w:pPr>
              <w:spacing w:line="263" w:lineRule="auto"/>
              <w:rPr>
                <w:rFonts w:ascii="Arial"/>
                <w:sz w:val="21"/>
              </w:rPr>
            </w:pPr>
          </w:p>
          <w:p w14:paraId="21F53B2C">
            <w:pPr>
              <w:spacing w:line="263" w:lineRule="auto"/>
              <w:rPr>
                <w:rFonts w:ascii="Arial"/>
                <w:sz w:val="21"/>
              </w:rPr>
            </w:pPr>
          </w:p>
          <w:p w14:paraId="15C84761">
            <w:pPr>
              <w:spacing w:line="263" w:lineRule="auto"/>
              <w:rPr>
                <w:rFonts w:ascii="Arial"/>
                <w:sz w:val="21"/>
              </w:rPr>
            </w:pPr>
          </w:p>
          <w:p w14:paraId="54A5C8A3">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4C9592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24" w:type="dxa"/>
            <w:vMerge w:val="continue"/>
            <w:tcBorders>
              <w:top w:val="nil"/>
              <w:bottom w:val="nil"/>
            </w:tcBorders>
            <w:textDirection w:val="tbRlV"/>
            <w:vAlign w:val="top"/>
          </w:tcPr>
          <w:p w14:paraId="5C2CED92">
            <w:pPr>
              <w:rPr>
                <w:rFonts w:ascii="Arial"/>
                <w:sz w:val="21"/>
              </w:rPr>
            </w:pPr>
          </w:p>
        </w:tc>
        <w:tc>
          <w:tcPr>
            <w:tcW w:w="1260" w:type="dxa"/>
            <w:vMerge w:val="continue"/>
            <w:tcBorders>
              <w:top w:val="nil"/>
              <w:bottom w:val="nil"/>
            </w:tcBorders>
            <w:vAlign w:val="top"/>
          </w:tcPr>
          <w:p w14:paraId="14DF00AA">
            <w:pPr>
              <w:rPr>
                <w:rFonts w:ascii="Arial"/>
                <w:sz w:val="21"/>
              </w:rPr>
            </w:pPr>
          </w:p>
        </w:tc>
        <w:tc>
          <w:tcPr>
            <w:tcW w:w="4188" w:type="dxa"/>
            <w:vMerge w:val="continue"/>
            <w:tcBorders>
              <w:top w:val="nil"/>
              <w:bottom w:val="nil"/>
            </w:tcBorders>
            <w:vAlign w:val="top"/>
          </w:tcPr>
          <w:p w14:paraId="6E7F2A6C">
            <w:pPr>
              <w:rPr>
                <w:rFonts w:ascii="Arial"/>
                <w:sz w:val="21"/>
              </w:rPr>
            </w:pPr>
          </w:p>
        </w:tc>
        <w:tc>
          <w:tcPr>
            <w:tcW w:w="5312" w:type="dxa"/>
            <w:vAlign w:val="top"/>
          </w:tcPr>
          <w:p w14:paraId="4F5CEA79">
            <w:pPr>
              <w:spacing w:line="292" w:lineRule="auto"/>
              <w:rPr>
                <w:rFonts w:ascii="Arial"/>
                <w:sz w:val="21"/>
              </w:rPr>
            </w:pPr>
          </w:p>
          <w:p w14:paraId="64335919">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5F79D0B8">
            <w:pPr>
              <w:rPr>
                <w:rFonts w:ascii="Arial"/>
                <w:sz w:val="21"/>
              </w:rPr>
            </w:pPr>
          </w:p>
        </w:tc>
      </w:tr>
      <w:tr w14:paraId="1B4876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5AB26C88">
            <w:pPr>
              <w:rPr>
                <w:rFonts w:ascii="Arial"/>
                <w:sz w:val="21"/>
              </w:rPr>
            </w:pPr>
          </w:p>
        </w:tc>
        <w:tc>
          <w:tcPr>
            <w:tcW w:w="1260" w:type="dxa"/>
            <w:vMerge w:val="continue"/>
            <w:tcBorders>
              <w:top w:val="nil"/>
              <w:bottom w:val="nil"/>
            </w:tcBorders>
            <w:vAlign w:val="top"/>
          </w:tcPr>
          <w:p w14:paraId="617D7365">
            <w:pPr>
              <w:rPr>
                <w:rFonts w:ascii="Arial"/>
                <w:sz w:val="21"/>
              </w:rPr>
            </w:pPr>
          </w:p>
        </w:tc>
        <w:tc>
          <w:tcPr>
            <w:tcW w:w="4188" w:type="dxa"/>
            <w:vMerge w:val="continue"/>
            <w:tcBorders>
              <w:top w:val="nil"/>
              <w:bottom w:val="nil"/>
            </w:tcBorders>
            <w:vAlign w:val="top"/>
          </w:tcPr>
          <w:p w14:paraId="67833790">
            <w:pPr>
              <w:rPr>
                <w:rFonts w:ascii="Arial"/>
                <w:sz w:val="21"/>
              </w:rPr>
            </w:pPr>
          </w:p>
        </w:tc>
        <w:tc>
          <w:tcPr>
            <w:tcW w:w="5312" w:type="dxa"/>
            <w:vAlign w:val="top"/>
          </w:tcPr>
          <w:p w14:paraId="7EFF4204">
            <w:pPr>
              <w:pStyle w:val="6"/>
              <w:spacing w:before="217" w:line="310" w:lineRule="auto"/>
              <w:ind w:left="116" w:right="105" w:firstLine="10"/>
              <w:jc w:val="both"/>
            </w:pPr>
            <w:r>
              <w:rPr>
                <w:spacing w:val="9"/>
              </w:rPr>
              <w:t>3、制作笔录，告知当事人采取强制措施的理</w:t>
            </w:r>
            <w:r>
              <w:rPr>
                <w:spacing w:val="8"/>
              </w:rPr>
              <w:t>由、依据及当</w:t>
            </w:r>
            <w:r>
              <w:rPr>
                <w:spacing w:val="9"/>
              </w:rPr>
              <w:t>事人依法享有的权利，并当场交付查封、扣押决定书和清</w:t>
            </w:r>
            <w:r>
              <w:rPr>
                <w:spacing w:val="7"/>
              </w:rPr>
              <w:t>单、实施查封、扣押。</w:t>
            </w:r>
          </w:p>
        </w:tc>
        <w:tc>
          <w:tcPr>
            <w:tcW w:w="3768" w:type="dxa"/>
            <w:vMerge w:val="continue"/>
            <w:tcBorders>
              <w:top w:val="nil"/>
              <w:bottom w:val="nil"/>
            </w:tcBorders>
            <w:vAlign w:val="top"/>
          </w:tcPr>
          <w:p w14:paraId="736ADDA9">
            <w:pPr>
              <w:rPr>
                <w:rFonts w:ascii="Arial"/>
                <w:sz w:val="21"/>
              </w:rPr>
            </w:pPr>
          </w:p>
        </w:tc>
      </w:tr>
      <w:tr w14:paraId="76379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7F9005AB">
            <w:pPr>
              <w:rPr>
                <w:rFonts w:ascii="Arial"/>
                <w:sz w:val="21"/>
              </w:rPr>
            </w:pPr>
          </w:p>
        </w:tc>
        <w:tc>
          <w:tcPr>
            <w:tcW w:w="1260" w:type="dxa"/>
            <w:vMerge w:val="continue"/>
            <w:tcBorders>
              <w:top w:val="nil"/>
              <w:bottom w:val="nil"/>
            </w:tcBorders>
            <w:vAlign w:val="top"/>
          </w:tcPr>
          <w:p w14:paraId="56C86451">
            <w:pPr>
              <w:rPr>
                <w:rFonts w:ascii="Arial"/>
                <w:sz w:val="21"/>
              </w:rPr>
            </w:pPr>
          </w:p>
        </w:tc>
        <w:tc>
          <w:tcPr>
            <w:tcW w:w="4188" w:type="dxa"/>
            <w:vMerge w:val="continue"/>
            <w:tcBorders>
              <w:top w:val="nil"/>
              <w:bottom w:val="nil"/>
            </w:tcBorders>
            <w:vAlign w:val="top"/>
          </w:tcPr>
          <w:p w14:paraId="5D102213">
            <w:pPr>
              <w:rPr>
                <w:rFonts w:ascii="Arial"/>
                <w:sz w:val="21"/>
              </w:rPr>
            </w:pPr>
          </w:p>
        </w:tc>
        <w:tc>
          <w:tcPr>
            <w:tcW w:w="5312" w:type="dxa"/>
            <w:vAlign w:val="top"/>
          </w:tcPr>
          <w:p w14:paraId="5001E4DE">
            <w:pPr>
              <w:pStyle w:val="6"/>
              <w:spacing w:before="65" w:line="310" w:lineRule="auto"/>
              <w:ind w:left="113" w:right="49" w:firstLine="4"/>
              <w:jc w:val="both"/>
            </w:pPr>
            <w:r>
              <w:rPr>
                <w:spacing w:val="10"/>
              </w:rPr>
              <w:t>4、行政机关采取查封、扣押措施后，应当及时查清</w:t>
            </w:r>
            <w:r>
              <w:rPr>
                <w:spacing w:val="9"/>
              </w:rPr>
              <w:t>事实，在《中华人民共和国行政强制法》第二十五条规定的期限内作出处理决定。对违法事实清楚，依法应当没收的非法财物予以没收；法律、行政法规规定应当销毁的，依法销</w:t>
            </w:r>
            <w:r>
              <w:rPr>
                <w:spacing w:val="8"/>
              </w:rPr>
              <w:t>毁；应当解除查封、扣押的，作出解除查封、</w:t>
            </w:r>
            <w:r>
              <w:rPr>
                <w:spacing w:val="7"/>
              </w:rPr>
              <w:t>扣押的决定。</w:t>
            </w:r>
          </w:p>
        </w:tc>
        <w:tc>
          <w:tcPr>
            <w:tcW w:w="3768" w:type="dxa"/>
            <w:vMerge w:val="continue"/>
            <w:tcBorders>
              <w:top w:val="nil"/>
              <w:bottom w:val="nil"/>
            </w:tcBorders>
            <w:vAlign w:val="top"/>
          </w:tcPr>
          <w:p w14:paraId="4F23FABA">
            <w:pPr>
              <w:rPr>
                <w:rFonts w:ascii="Arial"/>
                <w:sz w:val="21"/>
              </w:rPr>
            </w:pPr>
          </w:p>
        </w:tc>
      </w:tr>
      <w:tr w14:paraId="591F8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724" w:type="dxa"/>
            <w:vMerge w:val="continue"/>
            <w:tcBorders>
              <w:top w:val="nil"/>
            </w:tcBorders>
            <w:textDirection w:val="tbRlV"/>
            <w:vAlign w:val="top"/>
          </w:tcPr>
          <w:p w14:paraId="742954A3">
            <w:pPr>
              <w:rPr>
                <w:rFonts w:ascii="Arial"/>
                <w:sz w:val="21"/>
              </w:rPr>
            </w:pPr>
          </w:p>
        </w:tc>
        <w:tc>
          <w:tcPr>
            <w:tcW w:w="1260" w:type="dxa"/>
            <w:vMerge w:val="continue"/>
            <w:tcBorders>
              <w:top w:val="nil"/>
            </w:tcBorders>
            <w:vAlign w:val="top"/>
          </w:tcPr>
          <w:p w14:paraId="4D730EF6">
            <w:pPr>
              <w:rPr>
                <w:rFonts w:ascii="Arial"/>
                <w:sz w:val="21"/>
              </w:rPr>
            </w:pPr>
          </w:p>
        </w:tc>
        <w:tc>
          <w:tcPr>
            <w:tcW w:w="4188" w:type="dxa"/>
            <w:vMerge w:val="continue"/>
            <w:tcBorders>
              <w:top w:val="nil"/>
            </w:tcBorders>
            <w:vAlign w:val="top"/>
          </w:tcPr>
          <w:p w14:paraId="31682446">
            <w:pPr>
              <w:rPr>
                <w:rFonts w:ascii="Arial"/>
                <w:sz w:val="21"/>
              </w:rPr>
            </w:pPr>
          </w:p>
        </w:tc>
        <w:tc>
          <w:tcPr>
            <w:tcW w:w="5312" w:type="dxa"/>
            <w:vAlign w:val="top"/>
          </w:tcPr>
          <w:p w14:paraId="6EB8D438">
            <w:pPr>
              <w:pStyle w:val="6"/>
              <w:spacing w:before="116" w:line="224" w:lineRule="auto"/>
              <w:ind w:left="121"/>
            </w:pPr>
            <w:r>
              <w:rPr>
                <w:spacing w:val="8"/>
              </w:rPr>
              <w:t>5、其他法律法规规章规定应履行的责任。</w:t>
            </w:r>
          </w:p>
        </w:tc>
        <w:tc>
          <w:tcPr>
            <w:tcW w:w="3768" w:type="dxa"/>
            <w:vMerge w:val="continue"/>
            <w:tcBorders>
              <w:top w:val="nil"/>
            </w:tcBorders>
            <w:vAlign w:val="top"/>
          </w:tcPr>
          <w:p w14:paraId="1D94D9BF">
            <w:pPr>
              <w:rPr>
                <w:rFonts w:ascii="Arial"/>
                <w:sz w:val="21"/>
              </w:rPr>
            </w:pPr>
          </w:p>
        </w:tc>
      </w:tr>
      <w:tr w14:paraId="0D035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8B173AE">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496E22FF">
      <w:pPr>
        <w:pStyle w:val="2"/>
      </w:pPr>
    </w:p>
    <w:p w14:paraId="177C16BC">
      <w:pPr>
        <w:sectPr>
          <w:footerReference r:id="rId19" w:type="default"/>
          <w:pgSz w:w="16839" w:h="11906"/>
          <w:pgMar w:top="1012" w:right="685" w:bottom="1213" w:left="895" w:header="0" w:footer="938" w:gutter="0"/>
          <w:cols w:space="720" w:num="1"/>
        </w:sectPr>
      </w:pPr>
    </w:p>
    <w:p w14:paraId="5D6B8519">
      <w:pPr>
        <w:spacing w:before="36"/>
      </w:pPr>
    </w:p>
    <w:p w14:paraId="4E756105">
      <w:pPr>
        <w:spacing w:before="36"/>
      </w:pPr>
    </w:p>
    <w:p w14:paraId="3447A870">
      <w:pPr>
        <w:spacing w:before="36"/>
      </w:pPr>
    </w:p>
    <w:p w14:paraId="5CF9DA25">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2718"/>
        <w:gridCol w:w="3674"/>
        <w:gridCol w:w="4368"/>
        <w:gridCol w:w="3768"/>
      </w:tblGrid>
      <w:tr w14:paraId="0A42B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0D4AEB6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CF1D94C">
            <w:pPr>
              <w:spacing w:before="32"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2718" w:type="dxa"/>
            <w:vAlign w:val="top"/>
          </w:tcPr>
          <w:p w14:paraId="58DC2356">
            <w:pPr>
              <w:spacing w:before="190" w:line="228" w:lineRule="auto"/>
              <w:ind w:left="943"/>
              <w:rPr>
                <w:rFonts w:ascii="宋体" w:hAnsi="宋体" w:eastAsia="宋体" w:cs="宋体"/>
                <w:sz w:val="20"/>
                <w:szCs w:val="20"/>
              </w:rPr>
            </w:pPr>
            <w:r>
              <w:rPr>
                <w:rFonts w:ascii="宋体" w:hAnsi="宋体" w:eastAsia="宋体" w:cs="宋体"/>
                <w:b/>
                <w:bCs/>
                <w:spacing w:val="6"/>
                <w:sz w:val="20"/>
                <w:szCs w:val="20"/>
              </w:rPr>
              <w:t>职权名称</w:t>
            </w:r>
          </w:p>
        </w:tc>
        <w:tc>
          <w:tcPr>
            <w:tcW w:w="3674" w:type="dxa"/>
            <w:vAlign w:val="top"/>
          </w:tcPr>
          <w:p w14:paraId="3E4DE101">
            <w:pPr>
              <w:spacing w:before="190" w:line="228" w:lineRule="auto"/>
              <w:ind w:left="1426"/>
              <w:rPr>
                <w:rFonts w:ascii="宋体" w:hAnsi="宋体" w:eastAsia="宋体" w:cs="宋体"/>
                <w:sz w:val="20"/>
                <w:szCs w:val="20"/>
              </w:rPr>
            </w:pPr>
            <w:r>
              <w:rPr>
                <w:rFonts w:ascii="宋体" w:hAnsi="宋体" w:eastAsia="宋体" w:cs="宋体"/>
                <w:b/>
                <w:bCs/>
                <w:spacing w:val="5"/>
                <w:sz w:val="20"/>
                <w:szCs w:val="20"/>
              </w:rPr>
              <w:t>实施依据</w:t>
            </w:r>
          </w:p>
        </w:tc>
        <w:tc>
          <w:tcPr>
            <w:tcW w:w="4368" w:type="dxa"/>
            <w:vAlign w:val="top"/>
          </w:tcPr>
          <w:p w14:paraId="1633FE52">
            <w:pPr>
              <w:spacing w:before="190" w:line="228" w:lineRule="auto"/>
              <w:ind w:left="1196"/>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219E2A76">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4F096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 w:hRule="atLeast"/>
        </w:trPr>
        <w:tc>
          <w:tcPr>
            <w:tcW w:w="724" w:type="dxa"/>
            <w:vMerge w:val="restart"/>
            <w:tcBorders>
              <w:bottom w:val="nil"/>
            </w:tcBorders>
            <w:textDirection w:val="tbRlV"/>
            <w:vAlign w:val="top"/>
          </w:tcPr>
          <w:p w14:paraId="1465BF4F">
            <w:pPr>
              <w:pStyle w:val="6"/>
              <w:spacing w:before="255" w:line="213" w:lineRule="auto"/>
              <w:ind w:left="2193"/>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2718" w:type="dxa"/>
            <w:vMerge w:val="restart"/>
            <w:tcBorders>
              <w:bottom w:val="nil"/>
            </w:tcBorders>
            <w:vAlign w:val="top"/>
          </w:tcPr>
          <w:p w14:paraId="56FD4687">
            <w:pPr>
              <w:spacing w:line="284" w:lineRule="auto"/>
              <w:rPr>
                <w:rFonts w:ascii="Arial"/>
                <w:sz w:val="21"/>
              </w:rPr>
            </w:pPr>
          </w:p>
          <w:p w14:paraId="51C56E87">
            <w:pPr>
              <w:spacing w:line="284" w:lineRule="auto"/>
              <w:rPr>
                <w:rFonts w:ascii="Arial"/>
                <w:sz w:val="21"/>
              </w:rPr>
            </w:pPr>
          </w:p>
          <w:p w14:paraId="00DA1D5F">
            <w:pPr>
              <w:spacing w:line="284" w:lineRule="auto"/>
              <w:rPr>
                <w:rFonts w:ascii="Arial"/>
                <w:sz w:val="21"/>
              </w:rPr>
            </w:pPr>
          </w:p>
          <w:p w14:paraId="1B7902C4">
            <w:pPr>
              <w:spacing w:line="285" w:lineRule="auto"/>
              <w:rPr>
                <w:rFonts w:ascii="Arial"/>
                <w:sz w:val="21"/>
              </w:rPr>
            </w:pPr>
          </w:p>
          <w:p w14:paraId="6DFFC0E8">
            <w:pPr>
              <w:spacing w:line="285" w:lineRule="auto"/>
              <w:rPr>
                <w:rFonts w:ascii="Arial"/>
                <w:sz w:val="21"/>
              </w:rPr>
            </w:pPr>
          </w:p>
          <w:p w14:paraId="79833304">
            <w:pPr>
              <w:pStyle w:val="6"/>
              <w:spacing w:before="62" w:line="310" w:lineRule="auto"/>
              <w:ind w:left="106" w:right="66" w:firstLine="17"/>
            </w:pPr>
            <w:r>
              <w:rPr>
                <w:spacing w:val="7"/>
              </w:rPr>
              <w:t>16.查封、扣押有关合同、票</w:t>
            </w:r>
            <w:r>
              <w:rPr>
                <w:spacing w:val="5"/>
              </w:rPr>
              <w:t>据、账簿以及其他有关资料；</w:t>
            </w:r>
            <w:r>
              <w:rPr>
                <w:spacing w:val="2"/>
              </w:rPr>
              <w:t>查封、扣押不符合法定要求的</w:t>
            </w:r>
            <w:r>
              <w:rPr>
                <w:spacing w:val="9"/>
              </w:rPr>
              <w:t>医疗器械，违法使用的零配</w:t>
            </w:r>
            <w:r>
              <w:rPr>
                <w:spacing w:val="2"/>
              </w:rPr>
              <w:t>件、原材料以及用于违法生产医疗器械的工具、设备；查封</w:t>
            </w:r>
            <w:r>
              <w:rPr>
                <w:spacing w:val="9"/>
              </w:rPr>
              <w:t>违反本条例规定从事医疗器械生产经营活动的场所</w:t>
            </w:r>
          </w:p>
        </w:tc>
        <w:tc>
          <w:tcPr>
            <w:tcW w:w="3674" w:type="dxa"/>
            <w:vMerge w:val="restart"/>
            <w:tcBorders>
              <w:bottom w:val="nil"/>
            </w:tcBorders>
            <w:vAlign w:val="top"/>
          </w:tcPr>
          <w:p w14:paraId="53A4D8C6">
            <w:pPr>
              <w:spacing w:line="315" w:lineRule="auto"/>
              <w:rPr>
                <w:rFonts w:ascii="Arial"/>
                <w:sz w:val="21"/>
              </w:rPr>
            </w:pPr>
          </w:p>
          <w:p w14:paraId="699AD4CB">
            <w:pPr>
              <w:spacing w:line="316" w:lineRule="auto"/>
              <w:rPr>
                <w:rFonts w:ascii="Arial"/>
                <w:sz w:val="21"/>
              </w:rPr>
            </w:pPr>
          </w:p>
          <w:p w14:paraId="735A39F1">
            <w:pPr>
              <w:spacing w:line="316" w:lineRule="auto"/>
              <w:rPr>
                <w:rFonts w:ascii="Arial"/>
                <w:sz w:val="21"/>
              </w:rPr>
            </w:pPr>
          </w:p>
          <w:p w14:paraId="4F616C60">
            <w:pPr>
              <w:pStyle w:val="6"/>
              <w:spacing w:before="61" w:line="310" w:lineRule="auto"/>
              <w:ind w:left="115" w:right="105" w:firstLine="395"/>
            </w:pPr>
            <w:r>
              <w:rPr>
                <w:spacing w:val="6"/>
              </w:rPr>
              <w:t>《医疗器械监督管理条例》（</w:t>
            </w:r>
            <w:r>
              <w:rPr>
                <w:spacing w:val="-41"/>
              </w:rPr>
              <w:t xml:space="preserve"> </w:t>
            </w:r>
            <w:r>
              <w:rPr>
                <w:spacing w:val="6"/>
              </w:rPr>
              <w:t>国务</w:t>
            </w:r>
            <w:r>
              <w:rPr>
                <w:spacing w:val="-1"/>
              </w:rPr>
              <w:t>院令第</w:t>
            </w:r>
            <w:r>
              <w:rPr>
                <w:spacing w:val="-20"/>
              </w:rPr>
              <w:t xml:space="preserve"> </w:t>
            </w:r>
            <w:r>
              <w:rPr>
                <w:spacing w:val="-1"/>
              </w:rPr>
              <w:t>650</w:t>
            </w:r>
            <w:r>
              <w:rPr>
                <w:spacing w:val="-29"/>
              </w:rPr>
              <w:t xml:space="preserve"> </w:t>
            </w:r>
            <w:r>
              <w:rPr>
                <w:spacing w:val="-1"/>
              </w:rPr>
              <w:t>号）第五十四条第一款：“食</w:t>
            </w:r>
            <w:r>
              <w:rPr>
                <w:spacing w:val="9"/>
              </w:rPr>
              <w:t>品药品监督管理部门在监督检查中有下</w:t>
            </w:r>
            <w:r>
              <w:rPr>
                <w:spacing w:val="7"/>
              </w:rPr>
              <w:t>列职权</w:t>
            </w:r>
            <w:r>
              <w:t>：（</w:t>
            </w:r>
            <w:r>
              <w:rPr>
                <w:spacing w:val="-44"/>
              </w:rPr>
              <w:t xml:space="preserve"> </w:t>
            </w:r>
            <w:r>
              <w:rPr>
                <w:spacing w:val="7"/>
              </w:rPr>
              <w:t>一）进入现场实施检查、抽取样品</w:t>
            </w:r>
            <w:r>
              <w:rPr>
                <w:spacing w:val="1"/>
              </w:rPr>
              <w:t>；（</w:t>
            </w:r>
            <w:r>
              <w:rPr>
                <w:spacing w:val="-46"/>
              </w:rPr>
              <w:t xml:space="preserve"> </w:t>
            </w:r>
            <w:r>
              <w:rPr>
                <w:spacing w:val="7"/>
              </w:rPr>
              <w:t>二）查阅、复制、查封、扣</w:t>
            </w:r>
            <w:r>
              <w:rPr>
                <w:spacing w:val="9"/>
              </w:rPr>
              <w:t>押有关合同、票据、账簿以及其他有关</w:t>
            </w:r>
            <w:r>
              <w:rPr>
                <w:spacing w:val="7"/>
              </w:rPr>
              <w:t>资料</w:t>
            </w:r>
            <w:r>
              <w:t>；（</w:t>
            </w:r>
            <w:r>
              <w:rPr>
                <w:spacing w:val="-44"/>
              </w:rPr>
              <w:t xml:space="preserve"> </w:t>
            </w:r>
            <w:r>
              <w:rPr>
                <w:spacing w:val="7"/>
              </w:rPr>
              <w:t>三）查封、扣押不符合法定要</w:t>
            </w:r>
            <w:r>
              <w:rPr>
                <w:spacing w:val="9"/>
              </w:rPr>
              <w:t>求的医疗器械，违法使用的零配件、原材料以及用于违法生产医疗器械的工</w:t>
            </w:r>
          </w:p>
          <w:p w14:paraId="3D72A00D">
            <w:pPr>
              <w:pStyle w:val="6"/>
              <w:spacing w:before="1" w:line="310" w:lineRule="auto"/>
              <w:ind w:left="117" w:right="70" w:firstLine="1"/>
            </w:pPr>
            <w:r>
              <w:rPr>
                <w:spacing w:val="6"/>
              </w:rPr>
              <w:t>具、设备</w:t>
            </w:r>
            <w:r>
              <w:rPr>
                <w:spacing w:val="-12"/>
              </w:rPr>
              <w:t>；（</w:t>
            </w:r>
            <w:r>
              <w:rPr>
                <w:spacing w:val="-8"/>
              </w:rPr>
              <w:t xml:space="preserve"> </w:t>
            </w:r>
            <w:r>
              <w:rPr>
                <w:spacing w:val="6"/>
              </w:rPr>
              <w:t>四）查封违反本条例规定</w:t>
            </w:r>
            <w:r>
              <w:rPr>
                <w:spacing w:val="12"/>
              </w:rPr>
              <w:t>从事医疗器械生产经营活动的场所。</w:t>
            </w:r>
            <w:r>
              <w:rPr>
                <w:spacing w:val="-50"/>
              </w:rPr>
              <w:t xml:space="preserve"> </w:t>
            </w:r>
            <w:r>
              <w:rPr>
                <w:spacing w:val="12"/>
              </w:rPr>
              <w:t>”</w:t>
            </w:r>
          </w:p>
        </w:tc>
        <w:tc>
          <w:tcPr>
            <w:tcW w:w="4368" w:type="dxa"/>
            <w:vAlign w:val="top"/>
          </w:tcPr>
          <w:p w14:paraId="6197C03D">
            <w:pPr>
              <w:spacing w:line="315" w:lineRule="auto"/>
              <w:rPr>
                <w:rFonts w:ascii="Arial"/>
                <w:sz w:val="21"/>
              </w:rPr>
            </w:pPr>
          </w:p>
          <w:p w14:paraId="482C3EFB">
            <w:pPr>
              <w:pStyle w:val="6"/>
              <w:spacing w:before="61" w:line="224" w:lineRule="auto"/>
              <w:ind w:left="125"/>
            </w:pPr>
            <w:r>
              <w:rPr>
                <w:spacing w:val="8"/>
              </w:rPr>
              <w:t>1、核实违法事实，报行政机关负责人批准。</w:t>
            </w:r>
          </w:p>
        </w:tc>
        <w:tc>
          <w:tcPr>
            <w:tcW w:w="3768" w:type="dxa"/>
            <w:vMerge w:val="restart"/>
            <w:tcBorders>
              <w:bottom w:val="nil"/>
            </w:tcBorders>
            <w:vAlign w:val="top"/>
          </w:tcPr>
          <w:p w14:paraId="461AA5DE">
            <w:pPr>
              <w:spacing w:line="250" w:lineRule="auto"/>
              <w:rPr>
                <w:rFonts w:ascii="Arial"/>
                <w:sz w:val="21"/>
              </w:rPr>
            </w:pPr>
          </w:p>
          <w:p w14:paraId="5F43C8EE">
            <w:pPr>
              <w:spacing w:line="250" w:lineRule="auto"/>
              <w:rPr>
                <w:rFonts w:ascii="Arial"/>
                <w:sz w:val="21"/>
              </w:rPr>
            </w:pPr>
          </w:p>
          <w:p w14:paraId="1D9F1318">
            <w:pPr>
              <w:spacing w:line="250" w:lineRule="auto"/>
              <w:rPr>
                <w:rFonts w:ascii="Arial"/>
                <w:sz w:val="21"/>
              </w:rPr>
            </w:pPr>
          </w:p>
          <w:p w14:paraId="31BE9349">
            <w:pPr>
              <w:spacing w:line="250" w:lineRule="auto"/>
              <w:rPr>
                <w:rFonts w:ascii="Arial"/>
                <w:sz w:val="21"/>
              </w:rPr>
            </w:pPr>
          </w:p>
          <w:p w14:paraId="5C7F093B">
            <w:pPr>
              <w:spacing w:line="250" w:lineRule="auto"/>
              <w:rPr>
                <w:rFonts w:ascii="Arial"/>
                <w:sz w:val="21"/>
              </w:rPr>
            </w:pPr>
          </w:p>
          <w:p w14:paraId="5EFF252B">
            <w:pPr>
              <w:spacing w:line="251" w:lineRule="auto"/>
              <w:rPr>
                <w:rFonts w:ascii="Arial"/>
                <w:sz w:val="21"/>
              </w:rPr>
            </w:pPr>
          </w:p>
          <w:p w14:paraId="766B8CB6">
            <w:pPr>
              <w:spacing w:line="251" w:lineRule="auto"/>
              <w:rPr>
                <w:rFonts w:ascii="Arial"/>
                <w:sz w:val="21"/>
              </w:rPr>
            </w:pPr>
          </w:p>
          <w:p w14:paraId="301DCD5C">
            <w:pPr>
              <w:spacing w:line="251" w:lineRule="auto"/>
              <w:rPr>
                <w:rFonts w:ascii="Arial"/>
                <w:sz w:val="21"/>
              </w:rPr>
            </w:pPr>
          </w:p>
          <w:p w14:paraId="5CDFFE9B">
            <w:pPr>
              <w:spacing w:line="251" w:lineRule="auto"/>
              <w:rPr>
                <w:rFonts w:ascii="Arial"/>
                <w:sz w:val="21"/>
              </w:rPr>
            </w:pPr>
          </w:p>
          <w:p w14:paraId="6257E794">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0F6D0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24" w:type="dxa"/>
            <w:vMerge w:val="continue"/>
            <w:tcBorders>
              <w:top w:val="nil"/>
              <w:bottom w:val="nil"/>
            </w:tcBorders>
            <w:textDirection w:val="tbRlV"/>
            <w:vAlign w:val="top"/>
          </w:tcPr>
          <w:p w14:paraId="79DCD0A3">
            <w:pPr>
              <w:rPr>
                <w:rFonts w:ascii="Arial"/>
                <w:sz w:val="21"/>
              </w:rPr>
            </w:pPr>
          </w:p>
        </w:tc>
        <w:tc>
          <w:tcPr>
            <w:tcW w:w="2718" w:type="dxa"/>
            <w:vMerge w:val="continue"/>
            <w:tcBorders>
              <w:top w:val="nil"/>
              <w:bottom w:val="nil"/>
            </w:tcBorders>
            <w:vAlign w:val="top"/>
          </w:tcPr>
          <w:p w14:paraId="52AA4032">
            <w:pPr>
              <w:rPr>
                <w:rFonts w:ascii="Arial"/>
                <w:sz w:val="21"/>
              </w:rPr>
            </w:pPr>
          </w:p>
        </w:tc>
        <w:tc>
          <w:tcPr>
            <w:tcW w:w="3674" w:type="dxa"/>
            <w:vMerge w:val="continue"/>
            <w:tcBorders>
              <w:top w:val="nil"/>
              <w:bottom w:val="nil"/>
            </w:tcBorders>
            <w:vAlign w:val="top"/>
          </w:tcPr>
          <w:p w14:paraId="59307160">
            <w:pPr>
              <w:rPr>
                <w:rFonts w:ascii="Arial"/>
                <w:sz w:val="21"/>
              </w:rPr>
            </w:pPr>
          </w:p>
        </w:tc>
        <w:tc>
          <w:tcPr>
            <w:tcW w:w="4368" w:type="dxa"/>
            <w:vAlign w:val="top"/>
          </w:tcPr>
          <w:p w14:paraId="232111A7">
            <w:pPr>
              <w:spacing w:line="260" w:lineRule="auto"/>
              <w:rPr>
                <w:rFonts w:ascii="Arial"/>
                <w:sz w:val="21"/>
              </w:rPr>
            </w:pPr>
          </w:p>
          <w:p w14:paraId="12F3F401">
            <w:pPr>
              <w:pStyle w:val="6"/>
              <w:spacing w:before="62" w:line="224" w:lineRule="auto"/>
              <w:ind w:left="120"/>
            </w:pPr>
            <w:r>
              <w:rPr>
                <w:spacing w:val="7"/>
              </w:rPr>
              <w:t>2、依法作出处理决定。</w:t>
            </w:r>
          </w:p>
        </w:tc>
        <w:tc>
          <w:tcPr>
            <w:tcW w:w="3768" w:type="dxa"/>
            <w:vMerge w:val="continue"/>
            <w:tcBorders>
              <w:top w:val="nil"/>
              <w:bottom w:val="nil"/>
            </w:tcBorders>
            <w:vAlign w:val="top"/>
          </w:tcPr>
          <w:p w14:paraId="7A0CE291">
            <w:pPr>
              <w:rPr>
                <w:rFonts w:ascii="Arial"/>
                <w:sz w:val="21"/>
              </w:rPr>
            </w:pPr>
          </w:p>
        </w:tc>
      </w:tr>
      <w:tr w14:paraId="2B7762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2B28E49B">
            <w:pPr>
              <w:rPr>
                <w:rFonts w:ascii="Arial"/>
                <w:sz w:val="21"/>
              </w:rPr>
            </w:pPr>
          </w:p>
        </w:tc>
        <w:tc>
          <w:tcPr>
            <w:tcW w:w="2718" w:type="dxa"/>
            <w:vMerge w:val="continue"/>
            <w:tcBorders>
              <w:top w:val="nil"/>
              <w:bottom w:val="nil"/>
            </w:tcBorders>
            <w:vAlign w:val="top"/>
          </w:tcPr>
          <w:p w14:paraId="722D6C86">
            <w:pPr>
              <w:rPr>
                <w:rFonts w:ascii="Arial"/>
                <w:sz w:val="21"/>
              </w:rPr>
            </w:pPr>
          </w:p>
        </w:tc>
        <w:tc>
          <w:tcPr>
            <w:tcW w:w="3674" w:type="dxa"/>
            <w:vMerge w:val="continue"/>
            <w:tcBorders>
              <w:top w:val="nil"/>
              <w:bottom w:val="nil"/>
            </w:tcBorders>
            <w:vAlign w:val="top"/>
          </w:tcPr>
          <w:p w14:paraId="176EF993">
            <w:pPr>
              <w:rPr>
                <w:rFonts w:ascii="Arial"/>
                <w:sz w:val="21"/>
              </w:rPr>
            </w:pPr>
          </w:p>
        </w:tc>
        <w:tc>
          <w:tcPr>
            <w:tcW w:w="4368" w:type="dxa"/>
            <w:vAlign w:val="top"/>
          </w:tcPr>
          <w:p w14:paraId="18899516">
            <w:pPr>
              <w:pStyle w:val="6"/>
              <w:spacing w:before="217" w:line="310" w:lineRule="auto"/>
              <w:ind w:left="109" w:right="46" w:firstLine="18"/>
            </w:pPr>
            <w:r>
              <w:rPr>
                <w:spacing w:val="4"/>
              </w:rPr>
              <w:t>3、制作笔录，告知当事人采取强制措施的理由、</w:t>
            </w:r>
            <w:r>
              <w:rPr>
                <w:spacing w:val="9"/>
              </w:rPr>
              <w:t>依据及当事人依法享有的权利，并当场交付查</w:t>
            </w:r>
            <w:r>
              <w:rPr>
                <w:spacing w:val="4"/>
              </w:rPr>
              <w:t xml:space="preserve"> </w:t>
            </w:r>
            <w:r>
              <w:rPr>
                <w:spacing w:val="9"/>
              </w:rPr>
              <w:t>封、扣押决定书和清单、实施查封、扣押。</w:t>
            </w:r>
          </w:p>
        </w:tc>
        <w:tc>
          <w:tcPr>
            <w:tcW w:w="3768" w:type="dxa"/>
            <w:vMerge w:val="continue"/>
            <w:tcBorders>
              <w:top w:val="nil"/>
              <w:bottom w:val="nil"/>
            </w:tcBorders>
            <w:vAlign w:val="top"/>
          </w:tcPr>
          <w:p w14:paraId="229904E7">
            <w:pPr>
              <w:rPr>
                <w:rFonts w:ascii="Arial"/>
                <w:sz w:val="21"/>
              </w:rPr>
            </w:pPr>
          </w:p>
        </w:tc>
      </w:tr>
      <w:tr w14:paraId="4B165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6" w:hRule="atLeast"/>
        </w:trPr>
        <w:tc>
          <w:tcPr>
            <w:tcW w:w="724" w:type="dxa"/>
            <w:vMerge w:val="continue"/>
            <w:tcBorders>
              <w:top w:val="nil"/>
              <w:bottom w:val="nil"/>
            </w:tcBorders>
            <w:textDirection w:val="tbRlV"/>
            <w:vAlign w:val="top"/>
          </w:tcPr>
          <w:p w14:paraId="394DABFD">
            <w:pPr>
              <w:rPr>
                <w:rFonts w:ascii="Arial"/>
                <w:sz w:val="21"/>
              </w:rPr>
            </w:pPr>
          </w:p>
        </w:tc>
        <w:tc>
          <w:tcPr>
            <w:tcW w:w="2718" w:type="dxa"/>
            <w:vMerge w:val="continue"/>
            <w:tcBorders>
              <w:top w:val="nil"/>
              <w:bottom w:val="nil"/>
            </w:tcBorders>
            <w:vAlign w:val="top"/>
          </w:tcPr>
          <w:p w14:paraId="204DC3CB">
            <w:pPr>
              <w:rPr>
                <w:rFonts w:ascii="Arial"/>
                <w:sz w:val="21"/>
              </w:rPr>
            </w:pPr>
          </w:p>
        </w:tc>
        <w:tc>
          <w:tcPr>
            <w:tcW w:w="3674" w:type="dxa"/>
            <w:vMerge w:val="continue"/>
            <w:tcBorders>
              <w:top w:val="nil"/>
              <w:bottom w:val="nil"/>
            </w:tcBorders>
            <w:vAlign w:val="top"/>
          </w:tcPr>
          <w:p w14:paraId="4BBDBE34">
            <w:pPr>
              <w:rPr>
                <w:rFonts w:ascii="Arial"/>
                <w:sz w:val="21"/>
              </w:rPr>
            </w:pPr>
          </w:p>
        </w:tc>
        <w:tc>
          <w:tcPr>
            <w:tcW w:w="4368" w:type="dxa"/>
            <w:vAlign w:val="top"/>
          </w:tcPr>
          <w:p w14:paraId="68CED901">
            <w:pPr>
              <w:pStyle w:val="6"/>
              <w:spacing w:before="62" w:line="310" w:lineRule="auto"/>
              <w:ind w:left="110" w:right="49" w:firstLine="9"/>
              <w:jc w:val="both"/>
            </w:pPr>
            <w:r>
              <w:rPr>
                <w:spacing w:val="9"/>
              </w:rPr>
              <w:t>4、行政机关采取查封、扣押措施后，应当及时</w:t>
            </w:r>
            <w:r>
              <w:rPr>
                <w:spacing w:val="7"/>
              </w:rPr>
              <w:t>查清事实，在《中华人民共和国行政强制法》第二十五条规定的期限内作出处理决定。对违法事实清楚，依法应当没收的非法财物予以没收；法律、行政法规规定应当销毁的，依法销毁；应当</w:t>
            </w:r>
            <w:r>
              <w:rPr>
                <w:spacing w:val="1"/>
              </w:rPr>
              <w:t>解除查封、扣押的，作出解除查封、扣押的决定。</w:t>
            </w:r>
          </w:p>
        </w:tc>
        <w:tc>
          <w:tcPr>
            <w:tcW w:w="3768" w:type="dxa"/>
            <w:vMerge w:val="continue"/>
            <w:tcBorders>
              <w:top w:val="nil"/>
              <w:bottom w:val="nil"/>
            </w:tcBorders>
            <w:vAlign w:val="top"/>
          </w:tcPr>
          <w:p w14:paraId="0D5857E7">
            <w:pPr>
              <w:rPr>
                <w:rFonts w:ascii="Arial"/>
                <w:sz w:val="21"/>
              </w:rPr>
            </w:pPr>
          </w:p>
        </w:tc>
      </w:tr>
      <w:tr w14:paraId="18E90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2AB48BD9">
            <w:pPr>
              <w:rPr>
                <w:rFonts w:ascii="Arial"/>
                <w:sz w:val="21"/>
              </w:rPr>
            </w:pPr>
          </w:p>
        </w:tc>
        <w:tc>
          <w:tcPr>
            <w:tcW w:w="2718" w:type="dxa"/>
            <w:vMerge w:val="continue"/>
            <w:tcBorders>
              <w:top w:val="nil"/>
            </w:tcBorders>
            <w:vAlign w:val="top"/>
          </w:tcPr>
          <w:p w14:paraId="778C8164">
            <w:pPr>
              <w:rPr>
                <w:rFonts w:ascii="Arial"/>
                <w:sz w:val="21"/>
              </w:rPr>
            </w:pPr>
          </w:p>
        </w:tc>
        <w:tc>
          <w:tcPr>
            <w:tcW w:w="3674" w:type="dxa"/>
            <w:vMerge w:val="continue"/>
            <w:tcBorders>
              <w:top w:val="nil"/>
            </w:tcBorders>
            <w:vAlign w:val="top"/>
          </w:tcPr>
          <w:p w14:paraId="3ABFCF8C">
            <w:pPr>
              <w:rPr>
                <w:rFonts w:ascii="Arial"/>
                <w:sz w:val="21"/>
              </w:rPr>
            </w:pPr>
          </w:p>
        </w:tc>
        <w:tc>
          <w:tcPr>
            <w:tcW w:w="4368" w:type="dxa"/>
            <w:vAlign w:val="top"/>
          </w:tcPr>
          <w:p w14:paraId="2C9F33CC">
            <w:pPr>
              <w:pStyle w:val="6"/>
              <w:spacing w:before="90" w:line="224" w:lineRule="auto"/>
              <w:ind w:left="123"/>
            </w:pPr>
            <w:r>
              <w:rPr>
                <w:spacing w:val="8"/>
              </w:rPr>
              <w:t>5、其他法律法规规章规定应履行的责任。</w:t>
            </w:r>
          </w:p>
        </w:tc>
        <w:tc>
          <w:tcPr>
            <w:tcW w:w="3768" w:type="dxa"/>
            <w:vMerge w:val="continue"/>
            <w:tcBorders>
              <w:top w:val="nil"/>
            </w:tcBorders>
            <w:vAlign w:val="top"/>
          </w:tcPr>
          <w:p w14:paraId="0D93FD1A">
            <w:pPr>
              <w:rPr>
                <w:rFonts w:ascii="Arial"/>
                <w:sz w:val="21"/>
              </w:rPr>
            </w:pPr>
          </w:p>
        </w:tc>
      </w:tr>
      <w:tr w14:paraId="7E427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5F2FE4FD">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9FE0235">
      <w:pPr>
        <w:pStyle w:val="2"/>
      </w:pPr>
    </w:p>
    <w:p w14:paraId="6A953305">
      <w:pPr>
        <w:sectPr>
          <w:footerReference r:id="rId20" w:type="default"/>
          <w:pgSz w:w="16839" w:h="11906"/>
          <w:pgMar w:top="1012" w:right="685" w:bottom="1213" w:left="895" w:header="0" w:footer="938" w:gutter="0"/>
          <w:cols w:space="720" w:num="1"/>
        </w:sectPr>
      </w:pPr>
    </w:p>
    <w:p w14:paraId="0D694131">
      <w:pPr>
        <w:spacing w:before="45"/>
      </w:pPr>
    </w:p>
    <w:p w14:paraId="26C9176A">
      <w:pPr>
        <w:spacing w:before="44"/>
      </w:pPr>
    </w:p>
    <w:p w14:paraId="1AAED836">
      <w:pPr>
        <w:spacing w:before="44"/>
      </w:pPr>
    </w:p>
    <w:p w14:paraId="7A377D3A">
      <w:pPr>
        <w:spacing w:before="44"/>
      </w:pPr>
    </w:p>
    <w:p w14:paraId="011FE309">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3453"/>
        <w:gridCol w:w="3314"/>
        <w:gridCol w:w="3993"/>
        <w:gridCol w:w="3768"/>
      </w:tblGrid>
      <w:tr w14:paraId="1ECA3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13EEE6C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80261AF">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3453" w:type="dxa"/>
            <w:vAlign w:val="top"/>
          </w:tcPr>
          <w:p w14:paraId="580F31CB">
            <w:pPr>
              <w:spacing w:before="188" w:line="228" w:lineRule="auto"/>
              <w:ind w:left="1310"/>
              <w:rPr>
                <w:rFonts w:ascii="宋体" w:hAnsi="宋体" w:eastAsia="宋体" w:cs="宋体"/>
                <w:sz w:val="20"/>
                <w:szCs w:val="20"/>
              </w:rPr>
            </w:pPr>
            <w:r>
              <w:rPr>
                <w:rFonts w:ascii="宋体" w:hAnsi="宋体" w:eastAsia="宋体" w:cs="宋体"/>
                <w:b/>
                <w:bCs/>
                <w:spacing w:val="6"/>
                <w:sz w:val="20"/>
                <w:szCs w:val="20"/>
              </w:rPr>
              <w:t>职权名称</w:t>
            </w:r>
          </w:p>
        </w:tc>
        <w:tc>
          <w:tcPr>
            <w:tcW w:w="3314" w:type="dxa"/>
            <w:vAlign w:val="top"/>
          </w:tcPr>
          <w:p w14:paraId="00035B00">
            <w:pPr>
              <w:spacing w:before="187" w:line="228" w:lineRule="auto"/>
              <w:ind w:left="1245"/>
              <w:rPr>
                <w:rFonts w:ascii="宋体" w:hAnsi="宋体" w:eastAsia="宋体" w:cs="宋体"/>
                <w:sz w:val="20"/>
                <w:szCs w:val="20"/>
              </w:rPr>
            </w:pPr>
            <w:r>
              <w:rPr>
                <w:rFonts w:ascii="宋体" w:hAnsi="宋体" w:eastAsia="宋体" w:cs="宋体"/>
                <w:b/>
                <w:bCs/>
                <w:spacing w:val="5"/>
                <w:sz w:val="20"/>
                <w:szCs w:val="20"/>
              </w:rPr>
              <w:t>实施依据</w:t>
            </w:r>
          </w:p>
        </w:tc>
        <w:tc>
          <w:tcPr>
            <w:tcW w:w="3993" w:type="dxa"/>
            <w:vAlign w:val="top"/>
          </w:tcPr>
          <w:p w14:paraId="5E8A088A">
            <w:pPr>
              <w:spacing w:before="188" w:line="228" w:lineRule="auto"/>
              <w:ind w:left="1008"/>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00FFC8C">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14563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6" w:hRule="atLeast"/>
        </w:trPr>
        <w:tc>
          <w:tcPr>
            <w:tcW w:w="724" w:type="dxa"/>
            <w:vMerge w:val="restart"/>
            <w:tcBorders>
              <w:bottom w:val="nil"/>
            </w:tcBorders>
            <w:textDirection w:val="tbRlV"/>
            <w:vAlign w:val="top"/>
          </w:tcPr>
          <w:p w14:paraId="5DBAEF77">
            <w:pPr>
              <w:pStyle w:val="6"/>
              <w:spacing w:before="255" w:line="213" w:lineRule="auto"/>
              <w:ind w:left="2367"/>
              <w:rPr>
                <w:sz w:val="20"/>
                <w:szCs w:val="20"/>
              </w:rPr>
            </w:pPr>
            <w:r>
              <w:rPr>
                <w:spacing w:val="7"/>
                <w:sz w:val="20"/>
                <w:szCs w:val="20"/>
              </w:rPr>
              <w:t>行</w:t>
            </w:r>
            <w:r>
              <w:rPr>
                <w:spacing w:val="-24"/>
                <w:sz w:val="20"/>
                <w:szCs w:val="20"/>
              </w:rPr>
              <w:t xml:space="preserve"> </w:t>
            </w:r>
            <w:r>
              <w:rPr>
                <w:spacing w:val="7"/>
                <w:sz w:val="20"/>
                <w:szCs w:val="20"/>
              </w:rPr>
              <w:t>政</w:t>
            </w:r>
            <w:r>
              <w:rPr>
                <w:spacing w:val="-29"/>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3453" w:type="dxa"/>
            <w:vMerge w:val="restart"/>
            <w:tcBorders>
              <w:bottom w:val="nil"/>
            </w:tcBorders>
            <w:vAlign w:val="top"/>
          </w:tcPr>
          <w:p w14:paraId="5C67175B">
            <w:pPr>
              <w:spacing w:line="273" w:lineRule="auto"/>
              <w:rPr>
                <w:rFonts w:ascii="Arial"/>
                <w:sz w:val="21"/>
              </w:rPr>
            </w:pPr>
          </w:p>
          <w:p w14:paraId="154CDD99">
            <w:pPr>
              <w:spacing w:line="273" w:lineRule="auto"/>
              <w:rPr>
                <w:rFonts w:ascii="Arial"/>
                <w:sz w:val="21"/>
              </w:rPr>
            </w:pPr>
          </w:p>
          <w:p w14:paraId="6E0BFF3F">
            <w:pPr>
              <w:spacing w:line="274" w:lineRule="auto"/>
              <w:rPr>
                <w:rFonts w:ascii="Arial"/>
                <w:sz w:val="21"/>
              </w:rPr>
            </w:pPr>
          </w:p>
          <w:p w14:paraId="43BA6EFF">
            <w:pPr>
              <w:spacing w:line="274" w:lineRule="auto"/>
              <w:rPr>
                <w:rFonts w:ascii="Arial"/>
                <w:sz w:val="21"/>
              </w:rPr>
            </w:pPr>
          </w:p>
          <w:p w14:paraId="2E7895AF">
            <w:pPr>
              <w:spacing w:line="274" w:lineRule="auto"/>
              <w:rPr>
                <w:rFonts w:ascii="Arial"/>
                <w:sz w:val="21"/>
              </w:rPr>
            </w:pPr>
          </w:p>
          <w:p w14:paraId="7C26D6C1">
            <w:pPr>
              <w:spacing w:line="274" w:lineRule="auto"/>
              <w:rPr>
                <w:rFonts w:ascii="Arial"/>
                <w:sz w:val="21"/>
              </w:rPr>
            </w:pPr>
          </w:p>
          <w:p w14:paraId="5BDF1CD3">
            <w:pPr>
              <w:spacing w:line="274" w:lineRule="auto"/>
              <w:rPr>
                <w:rFonts w:ascii="Arial"/>
                <w:sz w:val="21"/>
              </w:rPr>
            </w:pPr>
          </w:p>
          <w:p w14:paraId="77C2B7ED">
            <w:pPr>
              <w:pStyle w:val="6"/>
              <w:spacing w:before="62" w:line="310" w:lineRule="auto"/>
              <w:ind w:left="109" w:right="106" w:firstLine="14"/>
              <w:jc w:val="both"/>
            </w:pPr>
            <w:r>
              <w:rPr>
                <w:spacing w:val="4"/>
              </w:rPr>
              <w:t>17.查封、扣押有证据证明不符合食品</w:t>
            </w:r>
            <w:r>
              <w:rPr>
                <w:spacing w:val="9"/>
              </w:rPr>
              <w:t>安全标准的食品，违法使用的食品原</w:t>
            </w:r>
            <w:r>
              <w:rPr>
                <w:spacing w:val="6"/>
              </w:rPr>
              <w:t>料、食品添加剂、食品相关产品，</w:t>
            </w:r>
            <w:r>
              <w:rPr>
                <w:spacing w:val="-39"/>
              </w:rPr>
              <w:t xml:space="preserve"> </w:t>
            </w:r>
            <w:r>
              <w:rPr>
                <w:spacing w:val="6"/>
              </w:rPr>
              <w:t>以</w:t>
            </w:r>
            <w:r>
              <w:rPr>
                <w:spacing w:val="9"/>
              </w:rPr>
              <w:t>及用于违法生产经营或者被污染的工具、设备；查封违法从事食品生产经营活动的场所</w:t>
            </w:r>
          </w:p>
        </w:tc>
        <w:tc>
          <w:tcPr>
            <w:tcW w:w="3314" w:type="dxa"/>
            <w:vMerge w:val="restart"/>
            <w:tcBorders>
              <w:bottom w:val="nil"/>
            </w:tcBorders>
            <w:vAlign w:val="top"/>
          </w:tcPr>
          <w:p w14:paraId="4F9D4BB7">
            <w:pPr>
              <w:pStyle w:val="6"/>
              <w:spacing w:before="233" w:line="225" w:lineRule="auto"/>
              <w:ind w:left="509"/>
            </w:pPr>
            <w:r>
              <w:rPr>
                <w:spacing w:val="9"/>
              </w:rPr>
              <w:t>《中华人民共和国食品安全</w:t>
            </w:r>
          </w:p>
          <w:p w14:paraId="6C2DB351">
            <w:pPr>
              <w:pStyle w:val="6"/>
              <w:spacing w:before="86" w:line="310" w:lineRule="auto"/>
              <w:ind w:left="109" w:right="204" w:firstLine="9"/>
              <w:jc w:val="both"/>
            </w:pPr>
            <w:r>
              <w:rPr>
                <w:spacing w:val="5"/>
              </w:rPr>
              <w:t>法》第一百一十条：</w:t>
            </w:r>
            <w:r>
              <w:rPr>
                <w:spacing w:val="-39"/>
              </w:rPr>
              <w:t xml:space="preserve"> </w:t>
            </w:r>
            <w:r>
              <w:rPr>
                <w:spacing w:val="5"/>
              </w:rPr>
              <w:t>“县级以上人</w:t>
            </w:r>
            <w:r>
              <w:rPr>
                <w:spacing w:val="9"/>
              </w:rPr>
              <w:t>民政府食品药品监督管理、质量监督部门履行各自食品安全监督管理职责，有权采取下列措施，对生产经营者遵守本法的情况进行监督检</w:t>
            </w:r>
            <w:r>
              <w:rPr>
                <w:spacing w:val="7"/>
              </w:rPr>
              <w:t>查</w:t>
            </w:r>
            <w:r>
              <w:rPr>
                <w:spacing w:val="-12"/>
              </w:rPr>
              <w:t>：（</w:t>
            </w:r>
            <w:r>
              <w:rPr>
                <w:spacing w:val="-19"/>
              </w:rPr>
              <w:t xml:space="preserve"> </w:t>
            </w:r>
            <w:r>
              <w:rPr>
                <w:spacing w:val="7"/>
              </w:rPr>
              <w:t>一）进入生产经营场所实施</w:t>
            </w:r>
            <w:r>
              <w:rPr>
                <w:spacing w:val="8"/>
              </w:rPr>
              <w:t>现场检查</w:t>
            </w:r>
            <w:r>
              <w:rPr>
                <w:spacing w:val="-18"/>
              </w:rPr>
              <w:t>；（</w:t>
            </w:r>
            <w:r>
              <w:rPr>
                <w:spacing w:val="-20"/>
              </w:rPr>
              <w:t xml:space="preserve"> </w:t>
            </w:r>
            <w:r>
              <w:rPr>
                <w:spacing w:val="8"/>
              </w:rPr>
              <w:t>二）对生产经营的食</w:t>
            </w:r>
            <w:r>
              <w:rPr>
                <w:spacing w:val="9"/>
              </w:rPr>
              <w:t>品、食品添加剂、食品相关产品进</w:t>
            </w:r>
            <w:r>
              <w:rPr>
                <w:spacing w:val="7"/>
              </w:rPr>
              <w:t>行抽样检验</w:t>
            </w:r>
            <w:r>
              <w:t>；（</w:t>
            </w:r>
            <w:r>
              <w:rPr>
                <w:spacing w:val="-43"/>
              </w:rPr>
              <w:t xml:space="preserve"> </w:t>
            </w:r>
            <w:r>
              <w:rPr>
                <w:spacing w:val="7"/>
              </w:rPr>
              <w:t>三）查阅、复制有</w:t>
            </w:r>
            <w:r>
              <w:rPr>
                <w:spacing w:val="9"/>
              </w:rPr>
              <w:t>关合同、票据、账簿以及其他有关</w:t>
            </w:r>
            <w:r>
              <w:rPr>
                <w:spacing w:val="7"/>
              </w:rPr>
              <w:t>资料</w:t>
            </w:r>
            <w:r>
              <w:rPr>
                <w:spacing w:val="-4"/>
              </w:rPr>
              <w:t>；（</w:t>
            </w:r>
            <w:r>
              <w:rPr>
                <w:spacing w:val="-35"/>
              </w:rPr>
              <w:t xml:space="preserve"> </w:t>
            </w:r>
            <w:r>
              <w:rPr>
                <w:spacing w:val="7"/>
              </w:rPr>
              <w:t>四）查封、扣押有证据证</w:t>
            </w:r>
            <w:r>
              <w:rPr>
                <w:spacing w:val="9"/>
              </w:rPr>
              <w:t>明不符合食品安全标准或者有证据证明存在安全隐患以及用于违法生产经营的食品、食品添加剂、食品</w:t>
            </w:r>
            <w:r>
              <w:rPr>
                <w:spacing w:val="8"/>
              </w:rPr>
              <w:t>相关产品</w:t>
            </w:r>
            <w:r>
              <w:rPr>
                <w:spacing w:val="-16"/>
              </w:rPr>
              <w:t>；（</w:t>
            </w:r>
            <w:r>
              <w:rPr>
                <w:spacing w:val="-24"/>
              </w:rPr>
              <w:t xml:space="preserve"> </w:t>
            </w:r>
            <w:r>
              <w:rPr>
                <w:spacing w:val="8"/>
              </w:rPr>
              <w:t>五）查封违法从事生</w:t>
            </w:r>
            <w:r>
              <w:rPr>
                <w:spacing w:val="15"/>
              </w:rPr>
              <w:t>产经营活动的场所。</w:t>
            </w:r>
            <w:r>
              <w:rPr>
                <w:spacing w:val="-58"/>
              </w:rPr>
              <w:t xml:space="preserve"> </w:t>
            </w:r>
            <w:r>
              <w:rPr>
                <w:spacing w:val="15"/>
              </w:rPr>
              <w:t>”</w:t>
            </w:r>
          </w:p>
        </w:tc>
        <w:tc>
          <w:tcPr>
            <w:tcW w:w="3993" w:type="dxa"/>
            <w:vAlign w:val="top"/>
          </w:tcPr>
          <w:p w14:paraId="6B910ACF">
            <w:pPr>
              <w:spacing w:line="359" w:lineRule="auto"/>
              <w:rPr>
                <w:rFonts w:ascii="Arial"/>
                <w:sz w:val="21"/>
              </w:rPr>
            </w:pPr>
          </w:p>
          <w:p w14:paraId="3C4E1F07">
            <w:pPr>
              <w:pStyle w:val="6"/>
              <w:spacing w:before="62" w:line="224" w:lineRule="auto"/>
              <w:ind w:right="14"/>
              <w:jc w:val="right"/>
            </w:pPr>
            <w:r>
              <w:rPr>
                <w:spacing w:val="7"/>
              </w:rPr>
              <w:t>1、核实违法事实，报行政机关负责人批准。</w:t>
            </w:r>
          </w:p>
        </w:tc>
        <w:tc>
          <w:tcPr>
            <w:tcW w:w="3768" w:type="dxa"/>
            <w:vMerge w:val="restart"/>
            <w:tcBorders>
              <w:bottom w:val="nil"/>
            </w:tcBorders>
            <w:vAlign w:val="top"/>
          </w:tcPr>
          <w:p w14:paraId="2F5DD88C">
            <w:pPr>
              <w:spacing w:line="242" w:lineRule="auto"/>
              <w:rPr>
                <w:rFonts w:ascii="Arial"/>
                <w:sz w:val="21"/>
              </w:rPr>
            </w:pPr>
          </w:p>
          <w:p w14:paraId="414641AD">
            <w:pPr>
              <w:spacing w:line="242" w:lineRule="auto"/>
              <w:rPr>
                <w:rFonts w:ascii="Arial"/>
                <w:sz w:val="21"/>
              </w:rPr>
            </w:pPr>
          </w:p>
          <w:p w14:paraId="26D1C311">
            <w:pPr>
              <w:spacing w:line="242" w:lineRule="auto"/>
              <w:rPr>
                <w:rFonts w:ascii="Arial"/>
                <w:sz w:val="21"/>
              </w:rPr>
            </w:pPr>
          </w:p>
          <w:p w14:paraId="5389D2B1">
            <w:pPr>
              <w:spacing w:line="243" w:lineRule="auto"/>
              <w:rPr>
                <w:rFonts w:ascii="Arial"/>
                <w:sz w:val="21"/>
              </w:rPr>
            </w:pPr>
          </w:p>
          <w:p w14:paraId="209F5B14">
            <w:pPr>
              <w:spacing w:line="243" w:lineRule="auto"/>
              <w:rPr>
                <w:rFonts w:ascii="Arial"/>
                <w:sz w:val="21"/>
              </w:rPr>
            </w:pPr>
          </w:p>
          <w:p w14:paraId="29E7F14A">
            <w:pPr>
              <w:spacing w:line="243" w:lineRule="auto"/>
              <w:rPr>
                <w:rFonts w:ascii="Arial"/>
                <w:sz w:val="21"/>
              </w:rPr>
            </w:pPr>
          </w:p>
          <w:p w14:paraId="72DC02FD">
            <w:pPr>
              <w:spacing w:line="243" w:lineRule="auto"/>
              <w:rPr>
                <w:rFonts w:ascii="Arial"/>
                <w:sz w:val="21"/>
              </w:rPr>
            </w:pPr>
          </w:p>
          <w:p w14:paraId="443BC1D0">
            <w:pPr>
              <w:spacing w:line="243" w:lineRule="auto"/>
              <w:rPr>
                <w:rFonts w:ascii="Arial"/>
                <w:sz w:val="21"/>
              </w:rPr>
            </w:pPr>
          </w:p>
          <w:p w14:paraId="7D7F25D7">
            <w:pPr>
              <w:spacing w:line="243" w:lineRule="auto"/>
              <w:rPr>
                <w:rFonts w:ascii="Arial"/>
                <w:sz w:val="21"/>
              </w:rPr>
            </w:pPr>
          </w:p>
          <w:p w14:paraId="5A699B21">
            <w:pPr>
              <w:spacing w:line="243" w:lineRule="auto"/>
              <w:rPr>
                <w:rFonts w:ascii="Arial"/>
                <w:sz w:val="21"/>
              </w:rPr>
            </w:pPr>
          </w:p>
          <w:p w14:paraId="10B7D45C">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02DD4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724" w:type="dxa"/>
            <w:vMerge w:val="continue"/>
            <w:tcBorders>
              <w:top w:val="nil"/>
              <w:bottom w:val="nil"/>
            </w:tcBorders>
            <w:textDirection w:val="tbRlV"/>
            <w:vAlign w:val="top"/>
          </w:tcPr>
          <w:p w14:paraId="5F9189D0">
            <w:pPr>
              <w:rPr>
                <w:rFonts w:ascii="Arial"/>
                <w:sz w:val="21"/>
              </w:rPr>
            </w:pPr>
          </w:p>
        </w:tc>
        <w:tc>
          <w:tcPr>
            <w:tcW w:w="3453" w:type="dxa"/>
            <w:vMerge w:val="continue"/>
            <w:tcBorders>
              <w:top w:val="nil"/>
              <w:bottom w:val="nil"/>
            </w:tcBorders>
            <w:vAlign w:val="top"/>
          </w:tcPr>
          <w:p w14:paraId="7030E280">
            <w:pPr>
              <w:rPr>
                <w:rFonts w:ascii="Arial"/>
                <w:sz w:val="21"/>
              </w:rPr>
            </w:pPr>
          </w:p>
        </w:tc>
        <w:tc>
          <w:tcPr>
            <w:tcW w:w="3314" w:type="dxa"/>
            <w:vMerge w:val="continue"/>
            <w:tcBorders>
              <w:top w:val="nil"/>
              <w:bottom w:val="nil"/>
            </w:tcBorders>
            <w:vAlign w:val="top"/>
          </w:tcPr>
          <w:p w14:paraId="76203512">
            <w:pPr>
              <w:rPr>
                <w:rFonts w:ascii="Arial"/>
                <w:sz w:val="21"/>
              </w:rPr>
            </w:pPr>
          </w:p>
        </w:tc>
        <w:tc>
          <w:tcPr>
            <w:tcW w:w="3993" w:type="dxa"/>
            <w:vAlign w:val="top"/>
          </w:tcPr>
          <w:p w14:paraId="34879E97">
            <w:pPr>
              <w:pStyle w:val="6"/>
              <w:spacing w:before="288" w:line="224" w:lineRule="auto"/>
              <w:ind w:left="120"/>
            </w:pPr>
            <w:r>
              <w:rPr>
                <w:spacing w:val="7"/>
              </w:rPr>
              <w:t>2、依法作出处理决定。</w:t>
            </w:r>
          </w:p>
        </w:tc>
        <w:tc>
          <w:tcPr>
            <w:tcW w:w="3768" w:type="dxa"/>
            <w:vMerge w:val="continue"/>
            <w:tcBorders>
              <w:top w:val="nil"/>
              <w:bottom w:val="nil"/>
            </w:tcBorders>
            <w:vAlign w:val="top"/>
          </w:tcPr>
          <w:p w14:paraId="6419328D">
            <w:pPr>
              <w:rPr>
                <w:rFonts w:ascii="Arial"/>
                <w:sz w:val="21"/>
              </w:rPr>
            </w:pPr>
          </w:p>
        </w:tc>
      </w:tr>
      <w:tr w14:paraId="165E4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0" w:hRule="atLeast"/>
        </w:trPr>
        <w:tc>
          <w:tcPr>
            <w:tcW w:w="724" w:type="dxa"/>
            <w:vMerge w:val="continue"/>
            <w:tcBorders>
              <w:top w:val="nil"/>
              <w:bottom w:val="nil"/>
            </w:tcBorders>
            <w:textDirection w:val="tbRlV"/>
            <w:vAlign w:val="top"/>
          </w:tcPr>
          <w:p w14:paraId="7145F1FF">
            <w:pPr>
              <w:rPr>
                <w:rFonts w:ascii="Arial"/>
                <w:sz w:val="21"/>
              </w:rPr>
            </w:pPr>
          </w:p>
        </w:tc>
        <w:tc>
          <w:tcPr>
            <w:tcW w:w="3453" w:type="dxa"/>
            <w:vMerge w:val="continue"/>
            <w:tcBorders>
              <w:top w:val="nil"/>
              <w:bottom w:val="nil"/>
            </w:tcBorders>
            <w:vAlign w:val="top"/>
          </w:tcPr>
          <w:p w14:paraId="613DCD2E">
            <w:pPr>
              <w:rPr>
                <w:rFonts w:ascii="Arial"/>
                <w:sz w:val="21"/>
              </w:rPr>
            </w:pPr>
          </w:p>
        </w:tc>
        <w:tc>
          <w:tcPr>
            <w:tcW w:w="3314" w:type="dxa"/>
            <w:vMerge w:val="continue"/>
            <w:tcBorders>
              <w:top w:val="nil"/>
              <w:bottom w:val="nil"/>
            </w:tcBorders>
            <w:vAlign w:val="top"/>
          </w:tcPr>
          <w:p w14:paraId="74EF58C5">
            <w:pPr>
              <w:rPr>
                <w:rFonts w:ascii="Arial"/>
                <w:sz w:val="21"/>
              </w:rPr>
            </w:pPr>
          </w:p>
        </w:tc>
        <w:tc>
          <w:tcPr>
            <w:tcW w:w="3993" w:type="dxa"/>
            <w:vAlign w:val="top"/>
          </w:tcPr>
          <w:p w14:paraId="08F13411">
            <w:pPr>
              <w:pStyle w:val="6"/>
              <w:spacing w:before="63" w:line="293" w:lineRule="auto"/>
              <w:ind w:left="111" w:right="46" w:firstLine="16"/>
              <w:jc w:val="both"/>
            </w:pPr>
            <w:r>
              <w:rPr>
                <w:spacing w:val="8"/>
              </w:rPr>
              <w:t>3、制作笔录，告知当事人采取强制措施的理由、依据及当事人依法享有的权利，并当</w:t>
            </w:r>
            <w:r>
              <w:rPr>
                <w:spacing w:val="1"/>
              </w:rPr>
              <w:t>场交付查封、扣押决定书和清单、实施查封、</w:t>
            </w:r>
            <w:r>
              <w:rPr>
                <w:spacing w:val="3"/>
              </w:rPr>
              <w:t>扣押。</w:t>
            </w:r>
          </w:p>
        </w:tc>
        <w:tc>
          <w:tcPr>
            <w:tcW w:w="3768" w:type="dxa"/>
            <w:vMerge w:val="continue"/>
            <w:tcBorders>
              <w:top w:val="nil"/>
              <w:bottom w:val="nil"/>
            </w:tcBorders>
            <w:vAlign w:val="top"/>
          </w:tcPr>
          <w:p w14:paraId="7F5FFB78">
            <w:pPr>
              <w:rPr>
                <w:rFonts w:ascii="Arial"/>
                <w:sz w:val="21"/>
              </w:rPr>
            </w:pPr>
          </w:p>
        </w:tc>
      </w:tr>
      <w:tr w14:paraId="05167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5" w:hRule="atLeast"/>
        </w:trPr>
        <w:tc>
          <w:tcPr>
            <w:tcW w:w="724" w:type="dxa"/>
            <w:vMerge w:val="continue"/>
            <w:tcBorders>
              <w:top w:val="nil"/>
              <w:bottom w:val="nil"/>
            </w:tcBorders>
            <w:textDirection w:val="tbRlV"/>
            <w:vAlign w:val="top"/>
          </w:tcPr>
          <w:p w14:paraId="60055B37">
            <w:pPr>
              <w:rPr>
                <w:rFonts w:ascii="Arial"/>
                <w:sz w:val="21"/>
              </w:rPr>
            </w:pPr>
          </w:p>
        </w:tc>
        <w:tc>
          <w:tcPr>
            <w:tcW w:w="3453" w:type="dxa"/>
            <w:vMerge w:val="continue"/>
            <w:tcBorders>
              <w:top w:val="nil"/>
              <w:bottom w:val="nil"/>
            </w:tcBorders>
            <w:vAlign w:val="top"/>
          </w:tcPr>
          <w:p w14:paraId="5DF3F39D">
            <w:pPr>
              <w:rPr>
                <w:rFonts w:ascii="Arial"/>
                <w:sz w:val="21"/>
              </w:rPr>
            </w:pPr>
          </w:p>
        </w:tc>
        <w:tc>
          <w:tcPr>
            <w:tcW w:w="3314" w:type="dxa"/>
            <w:vMerge w:val="continue"/>
            <w:tcBorders>
              <w:top w:val="nil"/>
              <w:bottom w:val="nil"/>
            </w:tcBorders>
            <w:vAlign w:val="top"/>
          </w:tcPr>
          <w:p w14:paraId="23891491">
            <w:pPr>
              <w:rPr>
                <w:rFonts w:ascii="Arial"/>
                <w:sz w:val="21"/>
              </w:rPr>
            </w:pPr>
          </w:p>
        </w:tc>
        <w:tc>
          <w:tcPr>
            <w:tcW w:w="3993" w:type="dxa"/>
            <w:vAlign w:val="top"/>
          </w:tcPr>
          <w:p w14:paraId="5A95CD44">
            <w:pPr>
              <w:pStyle w:val="6"/>
              <w:spacing w:before="64" w:line="310" w:lineRule="auto"/>
              <w:ind w:left="110" w:right="103" w:firstLine="9"/>
              <w:jc w:val="both"/>
            </w:pPr>
            <w:r>
              <w:rPr>
                <w:spacing w:val="8"/>
              </w:rPr>
              <w:t>4、行政机关采取查封、扣押措施后，应当及时查清事实，在《中华人民共和国行政强制法》第二十五条规定的期限内作出处理决定。对违法事实清楚，依法应当没收的非法财物予以没收；法律、行政法规规定应当销毁的，依法销毁；应当解除查封、扣押的，作出解除查封、扣押的决定。</w:t>
            </w:r>
          </w:p>
        </w:tc>
        <w:tc>
          <w:tcPr>
            <w:tcW w:w="3768" w:type="dxa"/>
            <w:vMerge w:val="continue"/>
            <w:tcBorders>
              <w:top w:val="nil"/>
              <w:bottom w:val="nil"/>
            </w:tcBorders>
            <w:vAlign w:val="top"/>
          </w:tcPr>
          <w:p w14:paraId="417F2F86">
            <w:pPr>
              <w:rPr>
                <w:rFonts w:ascii="Arial"/>
                <w:sz w:val="21"/>
              </w:rPr>
            </w:pPr>
          </w:p>
        </w:tc>
      </w:tr>
      <w:tr w14:paraId="34E33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65FFF8D8">
            <w:pPr>
              <w:rPr>
                <w:rFonts w:ascii="Arial"/>
                <w:sz w:val="21"/>
              </w:rPr>
            </w:pPr>
          </w:p>
        </w:tc>
        <w:tc>
          <w:tcPr>
            <w:tcW w:w="3453" w:type="dxa"/>
            <w:vMerge w:val="continue"/>
            <w:tcBorders>
              <w:top w:val="nil"/>
            </w:tcBorders>
            <w:vAlign w:val="top"/>
          </w:tcPr>
          <w:p w14:paraId="31BFD39A">
            <w:pPr>
              <w:rPr>
                <w:rFonts w:ascii="Arial"/>
                <w:sz w:val="21"/>
              </w:rPr>
            </w:pPr>
          </w:p>
        </w:tc>
        <w:tc>
          <w:tcPr>
            <w:tcW w:w="3314" w:type="dxa"/>
            <w:vMerge w:val="continue"/>
            <w:tcBorders>
              <w:top w:val="nil"/>
            </w:tcBorders>
            <w:vAlign w:val="top"/>
          </w:tcPr>
          <w:p w14:paraId="65972250">
            <w:pPr>
              <w:rPr>
                <w:rFonts w:ascii="Arial"/>
                <w:sz w:val="21"/>
              </w:rPr>
            </w:pPr>
          </w:p>
        </w:tc>
        <w:tc>
          <w:tcPr>
            <w:tcW w:w="3993" w:type="dxa"/>
            <w:vAlign w:val="top"/>
          </w:tcPr>
          <w:p w14:paraId="7DFC045C">
            <w:pPr>
              <w:pStyle w:val="6"/>
              <w:spacing w:before="89" w:line="224" w:lineRule="auto"/>
              <w:ind w:left="122"/>
            </w:pPr>
            <w:r>
              <w:rPr>
                <w:spacing w:val="8"/>
              </w:rPr>
              <w:t>5、其他法律法规规章规定应履行的责任。</w:t>
            </w:r>
          </w:p>
        </w:tc>
        <w:tc>
          <w:tcPr>
            <w:tcW w:w="3768" w:type="dxa"/>
            <w:vMerge w:val="continue"/>
            <w:tcBorders>
              <w:top w:val="nil"/>
            </w:tcBorders>
            <w:vAlign w:val="top"/>
          </w:tcPr>
          <w:p w14:paraId="01DA035A">
            <w:pPr>
              <w:rPr>
                <w:rFonts w:ascii="Arial"/>
                <w:sz w:val="21"/>
              </w:rPr>
            </w:pPr>
          </w:p>
        </w:tc>
      </w:tr>
      <w:tr w14:paraId="03528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200AC8D">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0E9D31D">
      <w:pPr>
        <w:pStyle w:val="2"/>
      </w:pPr>
    </w:p>
    <w:p w14:paraId="137B74D2">
      <w:pPr>
        <w:sectPr>
          <w:footerReference r:id="rId21" w:type="default"/>
          <w:pgSz w:w="16839" w:h="11906"/>
          <w:pgMar w:top="1012" w:right="685" w:bottom="1213" w:left="895" w:header="0" w:footer="937" w:gutter="0"/>
          <w:cols w:space="720" w:num="1"/>
        </w:sectPr>
      </w:pPr>
    </w:p>
    <w:p w14:paraId="1033879E">
      <w:pPr>
        <w:spacing w:before="22"/>
      </w:pPr>
    </w:p>
    <w:p w14:paraId="3B36FDD8">
      <w:pPr>
        <w:spacing w:before="22"/>
      </w:pPr>
    </w:p>
    <w:p w14:paraId="311037A2">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656576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6E2595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27F2B6E">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DDD537E">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61D99DDA">
            <w:pPr>
              <w:spacing w:before="189"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04573DBE">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49CEDF96">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73A7CE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724" w:type="dxa"/>
            <w:vMerge w:val="restart"/>
            <w:tcBorders>
              <w:bottom w:val="nil"/>
            </w:tcBorders>
            <w:textDirection w:val="tbRlV"/>
            <w:vAlign w:val="top"/>
          </w:tcPr>
          <w:p w14:paraId="1E36ECF9">
            <w:pPr>
              <w:pStyle w:val="6"/>
              <w:spacing w:before="255" w:line="213" w:lineRule="auto"/>
              <w:ind w:left="2038"/>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48AC9A65">
            <w:pPr>
              <w:pStyle w:val="6"/>
              <w:spacing w:before="62" w:line="310" w:lineRule="auto"/>
              <w:ind w:left="116" w:right="107" w:firstLine="7"/>
            </w:pPr>
            <w:r>
              <w:rPr>
                <w:spacing w:val="-4"/>
              </w:rPr>
              <w:t>18.查封、扣</w:t>
            </w:r>
            <w:r>
              <w:rPr>
                <w:spacing w:val="7"/>
              </w:rPr>
              <w:t>押有证据证</w:t>
            </w:r>
          </w:p>
          <w:p w14:paraId="0BCDA31E">
            <w:pPr>
              <w:pStyle w:val="6"/>
              <w:spacing w:line="224" w:lineRule="auto"/>
              <w:ind w:left="130"/>
            </w:pPr>
            <w:r>
              <w:rPr>
                <w:spacing w:val="4"/>
              </w:rPr>
              <w:t>明不符合乳</w:t>
            </w:r>
          </w:p>
          <w:p w14:paraId="1C5E566C">
            <w:pPr>
              <w:pStyle w:val="6"/>
              <w:spacing w:before="88" w:line="227" w:lineRule="auto"/>
              <w:ind w:left="136"/>
            </w:pPr>
            <w:r>
              <w:rPr>
                <w:spacing w:val="3"/>
              </w:rPr>
              <w:t>品质量安全</w:t>
            </w:r>
          </w:p>
          <w:p w14:paraId="1D62D41A">
            <w:pPr>
              <w:pStyle w:val="6"/>
              <w:spacing w:before="85" w:line="226" w:lineRule="auto"/>
              <w:ind w:left="128"/>
            </w:pPr>
            <w:r>
              <w:rPr>
                <w:spacing w:val="4"/>
              </w:rPr>
              <w:t>国家标准的</w:t>
            </w:r>
          </w:p>
          <w:p w14:paraId="2A604325">
            <w:pPr>
              <w:pStyle w:val="6"/>
              <w:spacing w:before="87" w:line="227" w:lineRule="auto"/>
              <w:ind w:left="117"/>
            </w:pPr>
            <w:r>
              <w:rPr>
                <w:spacing w:val="6"/>
              </w:rPr>
              <w:t>乳品以及违</w:t>
            </w:r>
          </w:p>
          <w:p w14:paraId="33E2B877">
            <w:pPr>
              <w:pStyle w:val="6"/>
              <w:spacing w:before="86" w:line="309" w:lineRule="auto"/>
              <w:ind w:left="113" w:right="50" w:firstLine="5"/>
              <w:jc w:val="both"/>
            </w:pPr>
            <w:r>
              <w:rPr>
                <w:spacing w:val="6"/>
              </w:rPr>
              <w:t>法使用的生</w:t>
            </w:r>
            <w:r>
              <w:rPr>
                <w:spacing w:val="-9"/>
              </w:rPr>
              <w:t>鲜乳、辅料、</w:t>
            </w:r>
            <w:r>
              <w:rPr>
                <w:spacing w:val="7"/>
              </w:rPr>
              <w:t>添加剂。查</w:t>
            </w:r>
          </w:p>
          <w:p w14:paraId="57A54952">
            <w:pPr>
              <w:pStyle w:val="6"/>
              <w:spacing w:before="1" w:line="223" w:lineRule="auto"/>
              <w:ind w:left="117"/>
            </w:pPr>
            <w:r>
              <w:rPr>
                <w:spacing w:val="6"/>
              </w:rPr>
              <w:t>封涉嫌违法</w:t>
            </w:r>
          </w:p>
          <w:p w14:paraId="373823F2">
            <w:pPr>
              <w:pStyle w:val="6"/>
              <w:spacing w:before="88" w:line="227" w:lineRule="auto"/>
              <w:ind w:left="116"/>
            </w:pPr>
            <w:r>
              <w:rPr>
                <w:spacing w:val="7"/>
              </w:rPr>
              <w:t>从事乳品生</w:t>
            </w:r>
          </w:p>
          <w:p w14:paraId="45B37641">
            <w:pPr>
              <w:pStyle w:val="6"/>
              <w:spacing w:before="86" w:line="227" w:lineRule="auto"/>
              <w:ind w:left="111"/>
            </w:pPr>
            <w:r>
              <w:rPr>
                <w:spacing w:val="8"/>
              </w:rPr>
              <w:t>产经营活动</w:t>
            </w:r>
          </w:p>
          <w:p w14:paraId="6CAAE3E5">
            <w:pPr>
              <w:pStyle w:val="6"/>
              <w:spacing w:before="86" w:line="226" w:lineRule="auto"/>
              <w:ind w:left="128"/>
            </w:pPr>
            <w:r>
              <w:rPr>
                <w:spacing w:val="5"/>
              </w:rPr>
              <w:t>的场所，扣</w:t>
            </w:r>
          </w:p>
          <w:p w14:paraId="67BBDA2E">
            <w:pPr>
              <w:pStyle w:val="6"/>
              <w:spacing w:before="86" w:line="226" w:lineRule="auto"/>
              <w:ind w:left="116"/>
            </w:pPr>
            <w:r>
              <w:rPr>
                <w:spacing w:val="7"/>
              </w:rPr>
              <w:t>押用于违法</w:t>
            </w:r>
          </w:p>
          <w:p w14:paraId="3F77B69A">
            <w:pPr>
              <w:pStyle w:val="6"/>
              <w:spacing w:before="87" w:line="227" w:lineRule="auto"/>
              <w:ind w:left="124"/>
            </w:pPr>
            <w:r>
              <w:rPr>
                <w:spacing w:val="5"/>
              </w:rPr>
              <w:t>生产经营的</w:t>
            </w:r>
          </w:p>
          <w:p w14:paraId="4F0DBAF3">
            <w:pPr>
              <w:pStyle w:val="6"/>
              <w:spacing w:before="86" w:line="227" w:lineRule="auto"/>
              <w:ind w:left="116"/>
            </w:pPr>
            <w:r>
              <w:rPr>
                <w:spacing w:val="7"/>
              </w:rPr>
              <w:t>工具、设备</w:t>
            </w:r>
          </w:p>
        </w:tc>
        <w:tc>
          <w:tcPr>
            <w:tcW w:w="3307" w:type="dxa"/>
            <w:vMerge w:val="restart"/>
            <w:tcBorders>
              <w:bottom w:val="nil"/>
            </w:tcBorders>
            <w:vAlign w:val="top"/>
          </w:tcPr>
          <w:p w14:paraId="4575FEF5">
            <w:pPr>
              <w:pStyle w:val="6"/>
              <w:spacing w:before="62" w:line="310" w:lineRule="auto"/>
              <w:ind w:left="108" w:right="63" w:firstLine="300"/>
            </w:pPr>
            <w:r>
              <w:rPr>
                <w:spacing w:val="9"/>
              </w:rPr>
              <w:t>《乳品质量安全监督管理条例》</w:t>
            </w:r>
            <w:r>
              <w:rPr>
                <w:spacing w:val="2"/>
              </w:rPr>
              <w:t xml:space="preserve"> </w:t>
            </w:r>
            <w:r>
              <w:rPr>
                <w:spacing w:val="-1"/>
              </w:rPr>
              <w:t>（</w:t>
            </w:r>
            <w:r>
              <w:rPr>
                <w:spacing w:val="-29"/>
              </w:rPr>
              <w:t xml:space="preserve"> </w:t>
            </w:r>
            <w:r>
              <w:rPr>
                <w:spacing w:val="-1"/>
              </w:rPr>
              <w:t>国务院令第</w:t>
            </w:r>
            <w:r>
              <w:rPr>
                <w:spacing w:val="-26"/>
              </w:rPr>
              <w:t xml:space="preserve"> </w:t>
            </w:r>
            <w:r>
              <w:rPr>
                <w:spacing w:val="-1"/>
              </w:rPr>
              <w:t>536</w:t>
            </w:r>
            <w:r>
              <w:rPr>
                <w:spacing w:val="-30"/>
              </w:rPr>
              <w:t xml:space="preserve"> </w:t>
            </w:r>
            <w:r>
              <w:rPr>
                <w:spacing w:val="-1"/>
              </w:rPr>
              <w:t>号）第四十七条：</w:t>
            </w:r>
            <w:r>
              <w:t xml:space="preserve"> </w:t>
            </w:r>
            <w:r>
              <w:rPr>
                <w:spacing w:val="9"/>
              </w:rPr>
              <w:t>“畜牧兽医、质量监督、工商行政管理等部门在依据各自职责进行监督检查时，行使下列职权</w:t>
            </w:r>
            <w:r>
              <w:rPr>
                <w:spacing w:val="-2"/>
              </w:rPr>
              <w:t>：（</w:t>
            </w:r>
            <w:r>
              <w:rPr>
                <w:spacing w:val="-46"/>
              </w:rPr>
              <w:t xml:space="preserve"> </w:t>
            </w:r>
            <w:r>
              <w:rPr>
                <w:spacing w:val="9"/>
              </w:rPr>
              <w:t>一）</w:t>
            </w:r>
          </w:p>
          <w:p w14:paraId="39559CA7">
            <w:pPr>
              <w:pStyle w:val="6"/>
              <w:spacing w:before="5" w:line="309" w:lineRule="auto"/>
              <w:ind w:left="109" w:right="47" w:firstLine="11"/>
            </w:pPr>
            <w:r>
              <w:rPr>
                <w:spacing w:val="6"/>
              </w:rPr>
              <w:t>实施现场检查</w:t>
            </w:r>
            <w:r>
              <w:rPr>
                <w:spacing w:val="-3"/>
              </w:rPr>
              <w:t>；</w:t>
            </w:r>
            <w:r>
              <w:rPr>
                <w:spacing w:val="8"/>
              </w:rPr>
              <w:t xml:space="preserve"> </w:t>
            </w:r>
            <w:r>
              <w:rPr>
                <w:spacing w:val="-3"/>
              </w:rPr>
              <w:t>（</w:t>
            </w:r>
            <w:r>
              <w:rPr>
                <w:spacing w:val="-48"/>
              </w:rPr>
              <w:t xml:space="preserve"> </w:t>
            </w:r>
            <w:r>
              <w:rPr>
                <w:spacing w:val="6"/>
              </w:rPr>
              <w:t>二）向有关人员</w:t>
            </w:r>
            <w:r>
              <w:rPr>
                <w:spacing w:val="1"/>
              </w:rPr>
              <w:t>调查、</w:t>
            </w:r>
            <w:r>
              <w:rPr>
                <w:spacing w:val="-44"/>
              </w:rPr>
              <w:t xml:space="preserve"> </w:t>
            </w:r>
            <w:r>
              <w:rPr>
                <w:spacing w:val="1"/>
              </w:rPr>
              <w:t>了解有关情况</w:t>
            </w:r>
            <w:r>
              <w:rPr>
                <w:spacing w:val="-6"/>
              </w:rPr>
              <w:t>；（</w:t>
            </w:r>
            <w:r>
              <w:rPr>
                <w:spacing w:val="-45"/>
              </w:rPr>
              <w:t xml:space="preserve"> </w:t>
            </w:r>
            <w:r>
              <w:rPr>
                <w:spacing w:val="1"/>
              </w:rPr>
              <w:t>三）查阅、</w:t>
            </w:r>
            <w:r>
              <w:rPr>
                <w:spacing w:val="9"/>
              </w:rPr>
              <w:t>复制有关合同、票据、账簿、检验</w:t>
            </w:r>
            <w:r>
              <w:rPr>
                <w:spacing w:val="7"/>
              </w:rPr>
              <w:t>报告等资料</w:t>
            </w:r>
            <w:r>
              <w:rPr>
                <w:spacing w:val="-4"/>
              </w:rPr>
              <w:t>；（</w:t>
            </w:r>
            <w:r>
              <w:rPr>
                <w:spacing w:val="-36"/>
              </w:rPr>
              <w:t xml:space="preserve"> </w:t>
            </w:r>
            <w:r>
              <w:rPr>
                <w:spacing w:val="7"/>
              </w:rPr>
              <w:t>四）查封、扣押有</w:t>
            </w:r>
            <w:r>
              <w:rPr>
                <w:spacing w:val="9"/>
              </w:rPr>
              <w:t>证据证明不符合乳品质量安全国家标准的乳品以及违法使用的生鲜</w:t>
            </w:r>
          </w:p>
          <w:p w14:paraId="53DE1D91">
            <w:pPr>
              <w:pStyle w:val="6"/>
              <w:spacing w:before="1" w:line="310" w:lineRule="auto"/>
              <w:ind w:left="107" w:right="47" w:firstLine="9"/>
            </w:pPr>
            <w:r>
              <w:rPr>
                <w:spacing w:val="7"/>
              </w:rPr>
              <w:t>乳、辅料、添加剂</w:t>
            </w:r>
            <w:r>
              <w:t>；（</w:t>
            </w:r>
            <w:r>
              <w:rPr>
                <w:spacing w:val="-52"/>
              </w:rPr>
              <w:t xml:space="preserve"> </w:t>
            </w:r>
            <w:r>
              <w:rPr>
                <w:spacing w:val="7"/>
              </w:rPr>
              <w:t>五）查封涉</w:t>
            </w:r>
            <w:r>
              <w:rPr>
                <w:spacing w:val="9"/>
              </w:rPr>
              <w:t>嫌违法从事乳品生产经营活动的场</w:t>
            </w:r>
            <w:r>
              <w:rPr>
                <w:spacing w:val="6"/>
              </w:rPr>
              <w:t>所，扣押用于违法生产经营的工具、</w:t>
            </w:r>
            <w:r>
              <w:rPr>
                <w:spacing w:val="8"/>
              </w:rPr>
              <w:t>设备</w:t>
            </w:r>
            <w:r>
              <w:rPr>
                <w:spacing w:val="-2"/>
              </w:rPr>
              <w:t>；（</w:t>
            </w:r>
            <w:r>
              <w:rPr>
                <w:spacing w:val="-51"/>
              </w:rPr>
              <w:t xml:space="preserve"> </w:t>
            </w:r>
            <w:r>
              <w:rPr>
                <w:spacing w:val="8"/>
              </w:rPr>
              <w:t>六）法律、行政法规规定</w:t>
            </w:r>
            <w:r>
              <w:rPr>
                <w:spacing w:val="18"/>
              </w:rPr>
              <w:t>的其他职权。</w:t>
            </w:r>
            <w:r>
              <w:rPr>
                <w:spacing w:val="-62"/>
              </w:rPr>
              <w:t xml:space="preserve"> </w:t>
            </w:r>
            <w:r>
              <w:rPr>
                <w:spacing w:val="18"/>
              </w:rPr>
              <w:t>”</w:t>
            </w:r>
          </w:p>
        </w:tc>
        <w:tc>
          <w:tcPr>
            <w:tcW w:w="6193" w:type="dxa"/>
            <w:vAlign w:val="top"/>
          </w:tcPr>
          <w:p w14:paraId="6D94307E">
            <w:pPr>
              <w:spacing w:line="337" w:lineRule="auto"/>
              <w:rPr>
                <w:rFonts w:ascii="Arial"/>
                <w:sz w:val="21"/>
              </w:rPr>
            </w:pPr>
          </w:p>
          <w:p w14:paraId="5ABD0558">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13E5A608">
            <w:pPr>
              <w:spacing w:line="262" w:lineRule="auto"/>
              <w:rPr>
                <w:rFonts w:ascii="Arial"/>
                <w:sz w:val="21"/>
              </w:rPr>
            </w:pPr>
          </w:p>
          <w:p w14:paraId="2A8FF1A1">
            <w:pPr>
              <w:spacing w:line="262" w:lineRule="auto"/>
              <w:rPr>
                <w:rFonts w:ascii="Arial"/>
                <w:sz w:val="21"/>
              </w:rPr>
            </w:pPr>
          </w:p>
          <w:p w14:paraId="6C25CDFA">
            <w:pPr>
              <w:spacing w:line="262" w:lineRule="auto"/>
              <w:rPr>
                <w:rFonts w:ascii="Arial"/>
                <w:sz w:val="21"/>
              </w:rPr>
            </w:pPr>
          </w:p>
          <w:p w14:paraId="04F33DC2">
            <w:pPr>
              <w:spacing w:line="262" w:lineRule="auto"/>
              <w:rPr>
                <w:rFonts w:ascii="Arial"/>
                <w:sz w:val="21"/>
              </w:rPr>
            </w:pPr>
          </w:p>
          <w:p w14:paraId="191EC77F">
            <w:pPr>
              <w:spacing w:line="263" w:lineRule="auto"/>
              <w:rPr>
                <w:rFonts w:ascii="Arial"/>
                <w:sz w:val="21"/>
              </w:rPr>
            </w:pPr>
          </w:p>
          <w:p w14:paraId="634C07E2">
            <w:pPr>
              <w:spacing w:line="263" w:lineRule="auto"/>
              <w:rPr>
                <w:rFonts w:ascii="Arial"/>
                <w:sz w:val="21"/>
              </w:rPr>
            </w:pPr>
          </w:p>
          <w:p w14:paraId="678AD601">
            <w:pPr>
              <w:spacing w:line="263" w:lineRule="auto"/>
              <w:rPr>
                <w:rFonts w:ascii="Arial"/>
                <w:sz w:val="21"/>
              </w:rPr>
            </w:pPr>
          </w:p>
          <w:p w14:paraId="51E271F9">
            <w:pPr>
              <w:spacing w:line="263" w:lineRule="auto"/>
              <w:rPr>
                <w:rFonts w:ascii="Arial"/>
                <w:sz w:val="21"/>
              </w:rPr>
            </w:pPr>
          </w:p>
          <w:p w14:paraId="7A49437B">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23356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trPr>
        <w:tc>
          <w:tcPr>
            <w:tcW w:w="724" w:type="dxa"/>
            <w:vMerge w:val="continue"/>
            <w:tcBorders>
              <w:top w:val="nil"/>
              <w:bottom w:val="nil"/>
            </w:tcBorders>
            <w:textDirection w:val="tbRlV"/>
            <w:vAlign w:val="top"/>
          </w:tcPr>
          <w:p w14:paraId="41ED28E6">
            <w:pPr>
              <w:rPr>
                <w:rFonts w:ascii="Arial"/>
                <w:sz w:val="21"/>
              </w:rPr>
            </w:pPr>
          </w:p>
        </w:tc>
        <w:tc>
          <w:tcPr>
            <w:tcW w:w="1260" w:type="dxa"/>
            <w:vMerge w:val="continue"/>
            <w:tcBorders>
              <w:top w:val="nil"/>
              <w:bottom w:val="nil"/>
            </w:tcBorders>
            <w:vAlign w:val="top"/>
          </w:tcPr>
          <w:p w14:paraId="34FB03E7">
            <w:pPr>
              <w:rPr>
                <w:rFonts w:ascii="Arial"/>
                <w:sz w:val="21"/>
              </w:rPr>
            </w:pPr>
          </w:p>
        </w:tc>
        <w:tc>
          <w:tcPr>
            <w:tcW w:w="3307" w:type="dxa"/>
            <w:vMerge w:val="continue"/>
            <w:tcBorders>
              <w:top w:val="nil"/>
              <w:bottom w:val="nil"/>
            </w:tcBorders>
            <w:vAlign w:val="top"/>
          </w:tcPr>
          <w:p w14:paraId="73751DD7">
            <w:pPr>
              <w:rPr>
                <w:rFonts w:ascii="Arial"/>
                <w:sz w:val="21"/>
              </w:rPr>
            </w:pPr>
          </w:p>
        </w:tc>
        <w:tc>
          <w:tcPr>
            <w:tcW w:w="6193" w:type="dxa"/>
            <w:vAlign w:val="top"/>
          </w:tcPr>
          <w:p w14:paraId="42266F38">
            <w:pPr>
              <w:pStyle w:val="6"/>
              <w:spacing w:before="241" w:line="224" w:lineRule="auto"/>
              <w:ind w:left="119"/>
            </w:pPr>
            <w:r>
              <w:rPr>
                <w:spacing w:val="7"/>
              </w:rPr>
              <w:t>2、依法作出处理决定。</w:t>
            </w:r>
          </w:p>
        </w:tc>
        <w:tc>
          <w:tcPr>
            <w:tcW w:w="3768" w:type="dxa"/>
            <w:vMerge w:val="continue"/>
            <w:tcBorders>
              <w:top w:val="nil"/>
              <w:bottom w:val="nil"/>
            </w:tcBorders>
            <w:vAlign w:val="top"/>
          </w:tcPr>
          <w:p w14:paraId="3B589C46">
            <w:pPr>
              <w:rPr>
                <w:rFonts w:ascii="Arial"/>
                <w:sz w:val="21"/>
              </w:rPr>
            </w:pPr>
          </w:p>
        </w:tc>
      </w:tr>
      <w:tr w14:paraId="1A8A0F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361B1CD8">
            <w:pPr>
              <w:rPr>
                <w:rFonts w:ascii="Arial"/>
                <w:sz w:val="21"/>
              </w:rPr>
            </w:pPr>
          </w:p>
        </w:tc>
        <w:tc>
          <w:tcPr>
            <w:tcW w:w="1260" w:type="dxa"/>
            <w:vMerge w:val="continue"/>
            <w:tcBorders>
              <w:top w:val="nil"/>
              <w:bottom w:val="nil"/>
            </w:tcBorders>
            <w:vAlign w:val="top"/>
          </w:tcPr>
          <w:p w14:paraId="67586302">
            <w:pPr>
              <w:rPr>
                <w:rFonts w:ascii="Arial"/>
                <w:sz w:val="21"/>
              </w:rPr>
            </w:pPr>
          </w:p>
        </w:tc>
        <w:tc>
          <w:tcPr>
            <w:tcW w:w="3307" w:type="dxa"/>
            <w:vMerge w:val="continue"/>
            <w:tcBorders>
              <w:top w:val="nil"/>
              <w:bottom w:val="nil"/>
            </w:tcBorders>
            <w:vAlign w:val="top"/>
          </w:tcPr>
          <w:p w14:paraId="1876EB19">
            <w:pPr>
              <w:rPr>
                <w:rFonts w:ascii="Arial"/>
                <w:sz w:val="21"/>
              </w:rPr>
            </w:pPr>
          </w:p>
        </w:tc>
        <w:tc>
          <w:tcPr>
            <w:tcW w:w="6193" w:type="dxa"/>
            <w:vAlign w:val="top"/>
          </w:tcPr>
          <w:p w14:paraId="6CF912FC">
            <w:pPr>
              <w:spacing w:line="311" w:lineRule="auto"/>
              <w:rPr>
                <w:rFonts w:ascii="Arial"/>
                <w:sz w:val="21"/>
              </w:rPr>
            </w:pPr>
          </w:p>
          <w:p w14:paraId="28F25CCD">
            <w:pPr>
              <w:pStyle w:val="6"/>
              <w:spacing w:before="62"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1835051B">
            <w:pPr>
              <w:rPr>
                <w:rFonts w:ascii="Arial"/>
                <w:sz w:val="21"/>
              </w:rPr>
            </w:pPr>
          </w:p>
        </w:tc>
      </w:tr>
      <w:tr w14:paraId="1D307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394F3CAA">
            <w:pPr>
              <w:rPr>
                <w:rFonts w:ascii="Arial"/>
                <w:sz w:val="21"/>
              </w:rPr>
            </w:pPr>
          </w:p>
        </w:tc>
        <w:tc>
          <w:tcPr>
            <w:tcW w:w="1260" w:type="dxa"/>
            <w:vMerge w:val="continue"/>
            <w:tcBorders>
              <w:top w:val="nil"/>
              <w:bottom w:val="nil"/>
            </w:tcBorders>
            <w:vAlign w:val="top"/>
          </w:tcPr>
          <w:p w14:paraId="181B21D8">
            <w:pPr>
              <w:rPr>
                <w:rFonts w:ascii="Arial"/>
                <w:sz w:val="21"/>
              </w:rPr>
            </w:pPr>
          </w:p>
        </w:tc>
        <w:tc>
          <w:tcPr>
            <w:tcW w:w="3307" w:type="dxa"/>
            <w:vMerge w:val="continue"/>
            <w:tcBorders>
              <w:top w:val="nil"/>
              <w:bottom w:val="nil"/>
            </w:tcBorders>
            <w:vAlign w:val="top"/>
          </w:tcPr>
          <w:p w14:paraId="62160C85">
            <w:pPr>
              <w:rPr>
                <w:rFonts w:ascii="Arial"/>
                <w:sz w:val="21"/>
              </w:rPr>
            </w:pPr>
          </w:p>
        </w:tc>
        <w:tc>
          <w:tcPr>
            <w:tcW w:w="6193" w:type="dxa"/>
            <w:vAlign w:val="top"/>
          </w:tcPr>
          <w:p w14:paraId="6786780F">
            <w:pPr>
              <w:pStyle w:val="6"/>
              <w:spacing w:before="65"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7EACCFFD">
            <w:pPr>
              <w:rPr>
                <w:rFonts w:ascii="Arial"/>
                <w:sz w:val="21"/>
              </w:rPr>
            </w:pPr>
          </w:p>
        </w:tc>
      </w:tr>
      <w:tr w14:paraId="79C25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724" w:type="dxa"/>
            <w:vMerge w:val="continue"/>
            <w:tcBorders>
              <w:top w:val="nil"/>
            </w:tcBorders>
            <w:textDirection w:val="tbRlV"/>
            <w:vAlign w:val="top"/>
          </w:tcPr>
          <w:p w14:paraId="0761C753">
            <w:pPr>
              <w:rPr>
                <w:rFonts w:ascii="Arial"/>
                <w:sz w:val="21"/>
              </w:rPr>
            </w:pPr>
          </w:p>
        </w:tc>
        <w:tc>
          <w:tcPr>
            <w:tcW w:w="1260" w:type="dxa"/>
            <w:vMerge w:val="continue"/>
            <w:tcBorders>
              <w:top w:val="nil"/>
            </w:tcBorders>
            <w:vAlign w:val="top"/>
          </w:tcPr>
          <w:p w14:paraId="544CE89B">
            <w:pPr>
              <w:rPr>
                <w:rFonts w:ascii="Arial"/>
                <w:sz w:val="21"/>
              </w:rPr>
            </w:pPr>
          </w:p>
        </w:tc>
        <w:tc>
          <w:tcPr>
            <w:tcW w:w="3307" w:type="dxa"/>
            <w:vMerge w:val="continue"/>
            <w:tcBorders>
              <w:top w:val="nil"/>
            </w:tcBorders>
            <w:vAlign w:val="top"/>
          </w:tcPr>
          <w:p w14:paraId="716D1FC2">
            <w:pPr>
              <w:rPr>
                <w:rFonts w:ascii="Arial"/>
                <w:sz w:val="21"/>
              </w:rPr>
            </w:pPr>
          </w:p>
        </w:tc>
        <w:tc>
          <w:tcPr>
            <w:tcW w:w="6193" w:type="dxa"/>
            <w:vAlign w:val="top"/>
          </w:tcPr>
          <w:p w14:paraId="4F0AC496">
            <w:pPr>
              <w:pStyle w:val="6"/>
              <w:spacing w:before="152" w:line="224" w:lineRule="auto"/>
              <w:ind w:left="121"/>
            </w:pPr>
            <w:r>
              <w:rPr>
                <w:spacing w:val="8"/>
              </w:rPr>
              <w:t>5、其他法律法规规章规定应履行的责任。</w:t>
            </w:r>
          </w:p>
        </w:tc>
        <w:tc>
          <w:tcPr>
            <w:tcW w:w="3768" w:type="dxa"/>
            <w:vMerge w:val="continue"/>
            <w:tcBorders>
              <w:top w:val="nil"/>
            </w:tcBorders>
            <w:vAlign w:val="top"/>
          </w:tcPr>
          <w:p w14:paraId="363D9B76">
            <w:pPr>
              <w:rPr>
                <w:rFonts w:ascii="Arial"/>
                <w:sz w:val="21"/>
              </w:rPr>
            </w:pPr>
          </w:p>
        </w:tc>
      </w:tr>
      <w:tr w14:paraId="6C801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D1AD978">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0449FEA4">
      <w:pPr>
        <w:pStyle w:val="2"/>
      </w:pPr>
    </w:p>
    <w:p w14:paraId="5E9F302F">
      <w:pPr>
        <w:sectPr>
          <w:footerReference r:id="rId22" w:type="default"/>
          <w:pgSz w:w="16839" w:h="11906"/>
          <w:pgMar w:top="1012" w:right="685" w:bottom="1213" w:left="895" w:header="0" w:footer="938" w:gutter="0"/>
          <w:cols w:space="720" w:num="1"/>
        </w:sectPr>
      </w:pPr>
    </w:p>
    <w:p w14:paraId="62546404">
      <w:pPr>
        <w:spacing w:before="22"/>
      </w:pPr>
    </w:p>
    <w:p w14:paraId="488C0372">
      <w:pPr>
        <w:spacing w:before="22"/>
      </w:pPr>
    </w:p>
    <w:p w14:paraId="33539C2D">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2568"/>
        <w:gridCol w:w="3899"/>
        <w:gridCol w:w="4293"/>
        <w:gridCol w:w="3768"/>
      </w:tblGrid>
      <w:tr w14:paraId="68B36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5F462873">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ACF54B5">
            <w:pPr>
              <w:spacing w:before="33"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2568" w:type="dxa"/>
            <w:vAlign w:val="top"/>
          </w:tcPr>
          <w:p w14:paraId="5A1BF758">
            <w:pPr>
              <w:spacing w:before="190" w:line="228" w:lineRule="auto"/>
              <w:ind w:left="868"/>
              <w:rPr>
                <w:rFonts w:ascii="宋体" w:hAnsi="宋体" w:eastAsia="宋体" w:cs="宋体"/>
                <w:sz w:val="20"/>
                <w:szCs w:val="20"/>
              </w:rPr>
            </w:pPr>
            <w:r>
              <w:rPr>
                <w:rFonts w:ascii="宋体" w:hAnsi="宋体" w:eastAsia="宋体" w:cs="宋体"/>
                <w:b/>
                <w:bCs/>
                <w:spacing w:val="6"/>
                <w:sz w:val="20"/>
                <w:szCs w:val="20"/>
              </w:rPr>
              <w:t>职权名称</w:t>
            </w:r>
          </w:p>
        </w:tc>
        <w:tc>
          <w:tcPr>
            <w:tcW w:w="3899" w:type="dxa"/>
            <w:vAlign w:val="top"/>
          </w:tcPr>
          <w:p w14:paraId="4B98DB34">
            <w:pPr>
              <w:spacing w:before="189" w:line="228" w:lineRule="auto"/>
              <w:ind w:left="1537"/>
              <w:rPr>
                <w:rFonts w:ascii="宋体" w:hAnsi="宋体" w:eastAsia="宋体" w:cs="宋体"/>
                <w:sz w:val="20"/>
                <w:szCs w:val="20"/>
              </w:rPr>
            </w:pPr>
            <w:r>
              <w:rPr>
                <w:rFonts w:ascii="宋体" w:hAnsi="宋体" w:eastAsia="宋体" w:cs="宋体"/>
                <w:b/>
                <w:bCs/>
                <w:spacing w:val="5"/>
                <w:sz w:val="20"/>
                <w:szCs w:val="20"/>
              </w:rPr>
              <w:t>实施依据</w:t>
            </w:r>
          </w:p>
        </w:tc>
        <w:tc>
          <w:tcPr>
            <w:tcW w:w="4293" w:type="dxa"/>
            <w:vAlign w:val="top"/>
          </w:tcPr>
          <w:p w14:paraId="6DB53BBA">
            <w:pPr>
              <w:spacing w:before="190" w:line="228" w:lineRule="auto"/>
              <w:ind w:left="115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5533B7AF">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01A35C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724" w:type="dxa"/>
            <w:vMerge w:val="restart"/>
            <w:tcBorders>
              <w:bottom w:val="nil"/>
            </w:tcBorders>
            <w:textDirection w:val="tbRlV"/>
            <w:vAlign w:val="top"/>
          </w:tcPr>
          <w:p w14:paraId="4FA50970">
            <w:pPr>
              <w:pStyle w:val="6"/>
              <w:spacing w:before="255" w:line="213" w:lineRule="auto"/>
              <w:ind w:left="2344"/>
              <w:rPr>
                <w:sz w:val="20"/>
                <w:szCs w:val="20"/>
              </w:rPr>
            </w:pPr>
            <w:r>
              <w:rPr>
                <w:spacing w:val="7"/>
                <w:sz w:val="20"/>
                <w:szCs w:val="20"/>
              </w:rPr>
              <w:t>行</w:t>
            </w:r>
            <w:r>
              <w:rPr>
                <w:spacing w:val="-24"/>
                <w:sz w:val="20"/>
                <w:szCs w:val="20"/>
              </w:rPr>
              <w:t xml:space="preserve"> </w:t>
            </w:r>
            <w:r>
              <w:rPr>
                <w:spacing w:val="7"/>
                <w:sz w:val="20"/>
                <w:szCs w:val="20"/>
              </w:rPr>
              <w:t>政</w:t>
            </w:r>
            <w:r>
              <w:rPr>
                <w:spacing w:val="-29"/>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2568" w:type="dxa"/>
            <w:vMerge w:val="restart"/>
            <w:tcBorders>
              <w:bottom w:val="nil"/>
            </w:tcBorders>
            <w:vAlign w:val="top"/>
          </w:tcPr>
          <w:p w14:paraId="72972165">
            <w:pPr>
              <w:spacing w:line="262" w:lineRule="auto"/>
              <w:rPr>
                <w:rFonts w:ascii="Arial"/>
                <w:sz w:val="21"/>
              </w:rPr>
            </w:pPr>
          </w:p>
          <w:p w14:paraId="1785FDC6">
            <w:pPr>
              <w:spacing w:line="262" w:lineRule="auto"/>
              <w:rPr>
                <w:rFonts w:ascii="Arial"/>
                <w:sz w:val="21"/>
              </w:rPr>
            </w:pPr>
          </w:p>
          <w:p w14:paraId="72044778">
            <w:pPr>
              <w:spacing w:line="263" w:lineRule="auto"/>
              <w:rPr>
                <w:rFonts w:ascii="Arial"/>
                <w:sz w:val="21"/>
              </w:rPr>
            </w:pPr>
          </w:p>
          <w:p w14:paraId="725D8E9C">
            <w:pPr>
              <w:spacing w:line="263" w:lineRule="auto"/>
              <w:rPr>
                <w:rFonts w:ascii="Arial"/>
                <w:sz w:val="21"/>
              </w:rPr>
            </w:pPr>
          </w:p>
          <w:p w14:paraId="052092AA">
            <w:pPr>
              <w:spacing w:line="263" w:lineRule="auto"/>
              <w:rPr>
                <w:rFonts w:ascii="Arial"/>
                <w:sz w:val="21"/>
              </w:rPr>
            </w:pPr>
          </w:p>
          <w:p w14:paraId="220F2F99">
            <w:pPr>
              <w:spacing w:line="263" w:lineRule="auto"/>
              <w:rPr>
                <w:rFonts w:ascii="Arial"/>
                <w:sz w:val="21"/>
              </w:rPr>
            </w:pPr>
          </w:p>
          <w:p w14:paraId="6CDACBA9">
            <w:pPr>
              <w:pStyle w:val="6"/>
              <w:spacing w:before="62" w:line="310" w:lineRule="auto"/>
              <w:ind w:left="110" w:right="100" w:firstLine="13"/>
            </w:pPr>
            <w:r>
              <w:rPr>
                <w:spacing w:val="7"/>
              </w:rPr>
              <w:t>19.查封、扣押有证据证明</w:t>
            </w:r>
            <w:r>
              <w:rPr>
                <w:spacing w:val="9"/>
              </w:rPr>
              <w:t>不符合食品安全标准的食</w:t>
            </w:r>
            <w:r>
              <w:rPr>
                <w:spacing w:val="5"/>
              </w:rPr>
              <w:t>品，违法使用的食品原料、</w:t>
            </w:r>
            <w:r>
              <w:rPr>
                <w:spacing w:val="9"/>
              </w:rPr>
              <w:t>食品添加剂、食品相关产</w:t>
            </w:r>
            <w:r>
              <w:rPr>
                <w:spacing w:val="5"/>
              </w:rPr>
              <w:t>品，以及用于违法生产经营</w:t>
            </w:r>
            <w:r>
              <w:rPr>
                <w:spacing w:val="7"/>
              </w:rPr>
              <w:t>的工具、设备；</w:t>
            </w:r>
            <w:r>
              <w:rPr>
                <w:spacing w:val="29"/>
              </w:rPr>
              <w:t xml:space="preserve"> </w:t>
            </w:r>
            <w:r>
              <w:rPr>
                <w:spacing w:val="7"/>
              </w:rPr>
              <w:t>查封违法</w:t>
            </w:r>
            <w:r>
              <w:rPr>
                <w:spacing w:val="9"/>
              </w:rPr>
              <w:t>从事食品生产经营活动的</w:t>
            </w:r>
            <w:r>
              <w:rPr>
                <w:spacing w:val="5"/>
              </w:rPr>
              <w:t>场所</w:t>
            </w:r>
          </w:p>
        </w:tc>
        <w:tc>
          <w:tcPr>
            <w:tcW w:w="3899" w:type="dxa"/>
            <w:vMerge w:val="restart"/>
            <w:tcBorders>
              <w:bottom w:val="nil"/>
            </w:tcBorders>
            <w:vAlign w:val="top"/>
          </w:tcPr>
          <w:p w14:paraId="4FDBDCDB">
            <w:pPr>
              <w:spacing w:line="304" w:lineRule="auto"/>
              <w:rPr>
                <w:rFonts w:ascii="Arial"/>
                <w:sz w:val="21"/>
              </w:rPr>
            </w:pPr>
          </w:p>
          <w:p w14:paraId="6007A91A">
            <w:pPr>
              <w:pStyle w:val="6"/>
              <w:spacing w:before="62" w:line="310" w:lineRule="auto"/>
              <w:ind w:left="111" w:right="190" w:firstLine="397"/>
              <w:jc w:val="both"/>
            </w:pPr>
            <w:r>
              <w:rPr>
                <w:spacing w:val="9"/>
              </w:rPr>
              <w:t>《河南省食品生产加工小作坊和食品</w:t>
            </w:r>
            <w:r>
              <w:rPr>
                <w:spacing w:val="6"/>
              </w:rPr>
              <w:t>摊贩管理办法》（</w:t>
            </w:r>
            <w:r>
              <w:rPr>
                <w:spacing w:val="-33"/>
              </w:rPr>
              <w:t xml:space="preserve"> </w:t>
            </w:r>
            <w:r>
              <w:rPr>
                <w:spacing w:val="6"/>
              </w:rPr>
              <w:t>河南省人民代表大会常务委员会公告[十一届]第六十二号</w:t>
            </w:r>
            <w:r>
              <w:rPr>
                <w:spacing w:val="-39"/>
              </w:rPr>
              <w:t xml:space="preserve"> </w:t>
            </w:r>
            <w:r>
              <w:rPr>
                <w:spacing w:val="6"/>
              </w:rPr>
              <w:t>）第三十七条：</w:t>
            </w:r>
            <w:r>
              <w:rPr>
                <w:spacing w:val="-33"/>
              </w:rPr>
              <w:t xml:space="preserve"> </w:t>
            </w:r>
            <w:r>
              <w:rPr>
                <w:spacing w:val="6"/>
              </w:rPr>
              <w:t>“县级以上质量技术监督、工商</w:t>
            </w:r>
            <w:r>
              <w:rPr>
                <w:spacing w:val="9"/>
              </w:rPr>
              <w:t>行政管理、食品药品监督管理、卫生等部门在履行食品安全监督管理职责时，有权</w:t>
            </w:r>
            <w:r>
              <w:rPr>
                <w:spacing w:val="8"/>
              </w:rPr>
              <w:t>采取下列措施</w:t>
            </w:r>
            <w:r>
              <w:rPr>
                <w:spacing w:val="-4"/>
              </w:rPr>
              <w:t>：（</w:t>
            </w:r>
            <w:r>
              <w:rPr>
                <w:spacing w:val="-45"/>
              </w:rPr>
              <w:t xml:space="preserve"> </w:t>
            </w:r>
            <w:r>
              <w:rPr>
                <w:spacing w:val="8"/>
              </w:rPr>
              <w:t>一）进入生产经营场所实施现场检查</w:t>
            </w:r>
            <w:r>
              <w:rPr>
                <w:spacing w:val="-4"/>
              </w:rPr>
              <w:t>；（</w:t>
            </w:r>
            <w:r>
              <w:rPr>
                <w:spacing w:val="-45"/>
              </w:rPr>
              <w:t xml:space="preserve"> </w:t>
            </w:r>
            <w:r>
              <w:rPr>
                <w:spacing w:val="8"/>
              </w:rPr>
              <w:t>二）对生产经营的食品</w:t>
            </w:r>
            <w:r>
              <w:rPr>
                <w:spacing w:val="7"/>
              </w:rPr>
              <w:t>进行抽样检验</w:t>
            </w:r>
            <w:r>
              <w:rPr>
                <w:spacing w:val="-3"/>
              </w:rPr>
              <w:t>；</w:t>
            </w:r>
            <w:r>
              <w:rPr>
                <w:spacing w:val="7"/>
              </w:rPr>
              <w:t xml:space="preserve">    </w:t>
            </w:r>
            <w:r>
              <w:rPr>
                <w:spacing w:val="-3"/>
              </w:rPr>
              <w:t>（</w:t>
            </w:r>
            <w:r>
              <w:rPr>
                <w:spacing w:val="-45"/>
              </w:rPr>
              <w:t xml:space="preserve"> </w:t>
            </w:r>
            <w:r>
              <w:rPr>
                <w:spacing w:val="7"/>
              </w:rPr>
              <w:t>三）查阅、复制有</w:t>
            </w:r>
          </w:p>
          <w:p w14:paraId="2DA14B69">
            <w:pPr>
              <w:pStyle w:val="6"/>
              <w:spacing w:before="1" w:line="310" w:lineRule="auto"/>
              <w:ind w:left="111" w:right="190" w:firstLine="8"/>
            </w:pPr>
            <w:r>
              <w:rPr>
                <w:spacing w:val="9"/>
              </w:rPr>
              <w:t>关合同、票据、账簿以及其他有关资料，</w:t>
            </w:r>
            <w:r>
              <w:rPr>
                <w:spacing w:val="7"/>
              </w:rPr>
              <w:t>向有关人员了解相关情况</w:t>
            </w:r>
            <w:r>
              <w:rPr>
                <w:spacing w:val="-1"/>
              </w:rPr>
              <w:t>；（</w:t>
            </w:r>
            <w:r>
              <w:rPr>
                <w:spacing w:val="-35"/>
              </w:rPr>
              <w:t xml:space="preserve"> </w:t>
            </w:r>
            <w:r>
              <w:rPr>
                <w:spacing w:val="7"/>
              </w:rPr>
              <w:t>四）查封、</w:t>
            </w:r>
            <w:r>
              <w:rPr>
                <w:spacing w:val="9"/>
              </w:rPr>
              <w:t>扣押有证据证明不符合食品安全标准的食品，违法使用的食品原料、食品添加剂、</w:t>
            </w:r>
            <w:r>
              <w:rPr>
                <w:spacing w:val="7"/>
              </w:rPr>
              <w:t>食品相关产品，</w:t>
            </w:r>
            <w:r>
              <w:rPr>
                <w:spacing w:val="-50"/>
              </w:rPr>
              <w:t xml:space="preserve"> </w:t>
            </w:r>
            <w:r>
              <w:rPr>
                <w:spacing w:val="7"/>
              </w:rPr>
              <w:t>以及用于违法生产经营的</w:t>
            </w:r>
            <w:r>
              <w:rPr>
                <w:spacing w:val="8"/>
              </w:rPr>
              <w:t>工具、设备</w:t>
            </w:r>
            <w:r>
              <w:t>；（</w:t>
            </w:r>
            <w:r>
              <w:rPr>
                <w:spacing w:val="-53"/>
              </w:rPr>
              <w:t xml:space="preserve"> </w:t>
            </w:r>
            <w:r>
              <w:rPr>
                <w:spacing w:val="8"/>
              </w:rPr>
              <w:t>五）查封违法从事食品生</w:t>
            </w:r>
            <w:r>
              <w:rPr>
                <w:spacing w:val="15"/>
              </w:rPr>
              <w:t>产经营活动的场所。</w:t>
            </w:r>
            <w:r>
              <w:rPr>
                <w:spacing w:val="-60"/>
              </w:rPr>
              <w:t xml:space="preserve"> </w:t>
            </w:r>
            <w:r>
              <w:rPr>
                <w:spacing w:val="15"/>
              </w:rPr>
              <w:t>”</w:t>
            </w:r>
          </w:p>
        </w:tc>
        <w:tc>
          <w:tcPr>
            <w:tcW w:w="4293" w:type="dxa"/>
            <w:vAlign w:val="top"/>
          </w:tcPr>
          <w:p w14:paraId="0D62017C">
            <w:pPr>
              <w:spacing w:line="300" w:lineRule="auto"/>
              <w:rPr>
                <w:rFonts w:ascii="Arial"/>
                <w:sz w:val="21"/>
              </w:rPr>
            </w:pPr>
          </w:p>
          <w:p w14:paraId="57E7B6BD">
            <w:pPr>
              <w:pStyle w:val="6"/>
              <w:spacing w:before="62" w:line="224" w:lineRule="auto"/>
              <w:ind w:left="125"/>
            </w:pPr>
            <w:r>
              <w:rPr>
                <w:spacing w:val="8"/>
              </w:rPr>
              <w:t>1、核实违法事实，报行政机关负责人批准。</w:t>
            </w:r>
          </w:p>
        </w:tc>
        <w:tc>
          <w:tcPr>
            <w:tcW w:w="3768" w:type="dxa"/>
            <w:vMerge w:val="restart"/>
            <w:tcBorders>
              <w:bottom w:val="nil"/>
            </w:tcBorders>
            <w:vAlign w:val="top"/>
          </w:tcPr>
          <w:p w14:paraId="13E66F30">
            <w:pPr>
              <w:rPr>
                <w:rFonts w:ascii="Arial"/>
                <w:sz w:val="21"/>
              </w:rPr>
            </w:pPr>
          </w:p>
          <w:p w14:paraId="69FEA47F">
            <w:pPr>
              <w:rPr>
                <w:rFonts w:ascii="Arial"/>
                <w:sz w:val="21"/>
              </w:rPr>
            </w:pPr>
          </w:p>
          <w:p w14:paraId="26FE6D93">
            <w:pPr>
              <w:rPr>
                <w:rFonts w:ascii="Arial"/>
                <w:sz w:val="21"/>
              </w:rPr>
            </w:pPr>
          </w:p>
          <w:p w14:paraId="47B65116">
            <w:pPr>
              <w:rPr>
                <w:rFonts w:ascii="Arial"/>
                <w:sz w:val="21"/>
              </w:rPr>
            </w:pPr>
          </w:p>
          <w:p w14:paraId="4C3CABBA">
            <w:pPr>
              <w:rPr>
                <w:rFonts w:ascii="Arial"/>
                <w:sz w:val="21"/>
              </w:rPr>
            </w:pPr>
          </w:p>
          <w:p w14:paraId="795FF8CB">
            <w:pPr>
              <w:rPr>
                <w:rFonts w:ascii="Arial"/>
                <w:sz w:val="21"/>
              </w:rPr>
            </w:pPr>
          </w:p>
          <w:p w14:paraId="72506F37">
            <w:pPr>
              <w:spacing w:line="241" w:lineRule="auto"/>
              <w:rPr>
                <w:rFonts w:ascii="Arial"/>
                <w:sz w:val="21"/>
              </w:rPr>
            </w:pPr>
          </w:p>
          <w:p w14:paraId="56330C0C">
            <w:pPr>
              <w:spacing w:line="241" w:lineRule="auto"/>
              <w:rPr>
                <w:rFonts w:ascii="Arial"/>
                <w:sz w:val="21"/>
              </w:rPr>
            </w:pPr>
          </w:p>
          <w:p w14:paraId="774E298C">
            <w:pPr>
              <w:spacing w:line="241" w:lineRule="auto"/>
              <w:rPr>
                <w:rFonts w:ascii="Arial"/>
                <w:sz w:val="21"/>
              </w:rPr>
            </w:pPr>
          </w:p>
          <w:p w14:paraId="4BEEC2EB">
            <w:pPr>
              <w:spacing w:line="241" w:lineRule="auto"/>
              <w:rPr>
                <w:rFonts w:ascii="Arial"/>
                <w:sz w:val="21"/>
              </w:rPr>
            </w:pPr>
          </w:p>
          <w:p w14:paraId="4861A5D7">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537A4C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724" w:type="dxa"/>
            <w:vMerge w:val="continue"/>
            <w:tcBorders>
              <w:top w:val="nil"/>
              <w:bottom w:val="nil"/>
            </w:tcBorders>
            <w:textDirection w:val="tbRlV"/>
            <w:vAlign w:val="top"/>
          </w:tcPr>
          <w:p w14:paraId="48BF6DF8">
            <w:pPr>
              <w:rPr>
                <w:rFonts w:ascii="Arial"/>
                <w:sz w:val="21"/>
              </w:rPr>
            </w:pPr>
          </w:p>
        </w:tc>
        <w:tc>
          <w:tcPr>
            <w:tcW w:w="2568" w:type="dxa"/>
            <w:vMerge w:val="continue"/>
            <w:tcBorders>
              <w:top w:val="nil"/>
              <w:bottom w:val="nil"/>
            </w:tcBorders>
            <w:vAlign w:val="top"/>
          </w:tcPr>
          <w:p w14:paraId="19BE81AF">
            <w:pPr>
              <w:rPr>
                <w:rFonts w:ascii="Arial"/>
                <w:sz w:val="21"/>
              </w:rPr>
            </w:pPr>
          </w:p>
        </w:tc>
        <w:tc>
          <w:tcPr>
            <w:tcW w:w="3899" w:type="dxa"/>
            <w:vMerge w:val="continue"/>
            <w:tcBorders>
              <w:top w:val="nil"/>
              <w:bottom w:val="nil"/>
            </w:tcBorders>
            <w:vAlign w:val="top"/>
          </w:tcPr>
          <w:p w14:paraId="60058836">
            <w:pPr>
              <w:rPr>
                <w:rFonts w:ascii="Arial"/>
                <w:sz w:val="21"/>
              </w:rPr>
            </w:pPr>
          </w:p>
        </w:tc>
        <w:tc>
          <w:tcPr>
            <w:tcW w:w="4293" w:type="dxa"/>
            <w:vAlign w:val="top"/>
          </w:tcPr>
          <w:p w14:paraId="176FF6E4">
            <w:pPr>
              <w:spacing w:line="269" w:lineRule="auto"/>
              <w:rPr>
                <w:rFonts w:ascii="Arial"/>
                <w:sz w:val="21"/>
              </w:rPr>
            </w:pPr>
          </w:p>
          <w:p w14:paraId="627EEF76">
            <w:pPr>
              <w:pStyle w:val="6"/>
              <w:spacing w:before="61" w:line="224" w:lineRule="auto"/>
              <w:ind w:left="120"/>
            </w:pPr>
            <w:r>
              <w:rPr>
                <w:spacing w:val="7"/>
              </w:rPr>
              <w:t>2、依法作出处理决定。</w:t>
            </w:r>
          </w:p>
        </w:tc>
        <w:tc>
          <w:tcPr>
            <w:tcW w:w="3768" w:type="dxa"/>
            <w:vMerge w:val="continue"/>
            <w:tcBorders>
              <w:top w:val="nil"/>
              <w:bottom w:val="nil"/>
            </w:tcBorders>
            <w:vAlign w:val="top"/>
          </w:tcPr>
          <w:p w14:paraId="4670A956">
            <w:pPr>
              <w:rPr>
                <w:rFonts w:ascii="Arial"/>
                <w:sz w:val="21"/>
              </w:rPr>
            </w:pPr>
          </w:p>
        </w:tc>
      </w:tr>
      <w:tr w14:paraId="70FA5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2E5DB9DC">
            <w:pPr>
              <w:rPr>
                <w:rFonts w:ascii="Arial"/>
                <w:sz w:val="21"/>
              </w:rPr>
            </w:pPr>
          </w:p>
        </w:tc>
        <w:tc>
          <w:tcPr>
            <w:tcW w:w="2568" w:type="dxa"/>
            <w:vMerge w:val="continue"/>
            <w:tcBorders>
              <w:top w:val="nil"/>
              <w:bottom w:val="nil"/>
            </w:tcBorders>
            <w:vAlign w:val="top"/>
          </w:tcPr>
          <w:p w14:paraId="1C7714BE">
            <w:pPr>
              <w:rPr>
                <w:rFonts w:ascii="Arial"/>
                <w:sz w:val="21"/>
              </w:rPr>
            </w:pPr>
          </w:p>
        </w:tc>
        <w:tc>
          <w:tcPr>
            <w:tcW w:w="3899" w:type="dxa"/>
            <w:vMerge w:val="continue"/>
            <w:tcBorders>
              <w:top w:val="nil"/>
              <w:bottom w:val="nil"/>
            </w:tcBorders>
            <w:vAlign w:val="top"/>
          </w:tcPr>
          <w:p w14:paraId="07298D77">
            <w:pPr>
              <w:rPr>
                <w:rFonts w:ascii="Arial"/>
                <w:sz w:val="21"/>
              </w:rPr>
            </w:pPr>
          </w:p>
        </w:tc>
        <w:tc>
          <w:tcPr>
            <w:tcW w:w="4293" w:type="dxa"/>
            <w:vAlign w:val="top"/>
          </w:tcPr>
          <w:p w14:paraId="3C79BA90">
            <w:pPr>
              <w:pStyle w:val="6"/>
              <w:spacing w:before="217" w:line="310" w:lineRule="auto"/>
              <w:ind w:left="109" w:right="46" w:firstLine="18"/>
              <w:jc w:val="both"/>
            </w:pPr>
            <w:r>
              <w:rPr>
                <w:spacing w:val="1"/>
              </w:rPr>
              <w:t>3、制作笔录，告知当事人采取强制措施的理由、</w:t>
            </w:r>
            <w:r>
              <w:rPr>
                <w:spacing w:val="9"/>
              </w:rPr>
              <w:t>依据及当事人依法享有的权利，并当场交付查封、扣押决定书和清单、实施查封、扣押。</w:t>
            </w:r>
          </w:p>
        </w:tc>
        <w:tc>
          <w:tcPr>
            <w:tcW w:w="3768" w:type="dxa"/>
            <w:vMerge w:val="continue"/>
            <w:tcBorders>
              <w:top w:val="nil"/>
              <w:bottom w:val="nil"/>
            </w:tcBorders>
            <w:vAlign w:val="top"/>
          </w:tcPr>
          <w:p w14:paraId="7B6C0A4D">
            <w:pPr>
              <w:rPr>
                <w:rFonts w:ascii="Arial"/>
                <w:sz w:val="21"/>
              </w:rPr>
            </w:pPr>
          </w:p>
        </w:tc>
      </w:tr>
      <w:tr w14:paraId="4C442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5" w:hRule="atLeast"/>
        </w:trPr>
        <w:tc>
          <w:tcPr>
            <w:tcW w:w="724" w:type="dxa"/>
            <w:vMerge w:val="continue"/>
            <w:tcBorders>
              <w:top w:val="nil"/>
              <w:bottom w:val="nil"/>
            </w:tcBorders>
            <w:textDirection w:val="tbRlV"/>
            <w:vAlign w:val="top"/>
          </w:tcPr>
          <w:p w14:paraId="78BB125F">
            <w:pPr>
              <w:rPr>
                <w:rFonts w:ascii="Arial"/>
                <w:sz w:val="21"/>
              </w:rPr>
            </w:pPr>
          </w:p>
        </w:tc>
        <w:tc>
          <w:tcPr>
            <w:tcW w:w="2568" w:type="dxa"/>
            <w:vMerge w:val="continue"/>
            <w:tcBorders>
              <w:top w:val="nil"/>
              <w:bottom w:val="nil"/>
            </w:tcBorders>
            <w:vAlign w:val="top"/>
          </w:tcPr>
          <w:p w14:paraId="4A45C0F3">
            <w:pPr>
              <w:rPr>
                <w:rFonts w:ascii="Arial"/>
                <w:sz w:val="21"/>
              </w:rPr>
            </w:pPr>
          </w:p>
        </w:tc>
        <w:tc>
          <w:tcPr>
            <w:tcW w:w="3899" w:type="dxa"/>
            <w:vMerge w:val="continue"/>
            <w:tcBorders>
              <w:top w:val="nil"/>
              <w:bottom w:val="nil"/>
            </w:tcBorders>
            <w:vAlign w:val="top"/>
          </w:tcPr>
          <w:p w14:paraId="44AADD57">
            <w:pPr>
              <w:rPr>
                <w:rFonts w:ascii="Arial"/>
                <w:sz w:val="21"/>
              </w:rPr>
            </w:pPr>
          </w:p>
        </w:tc>
        <w:tc>
          <w:tcPr>
            <w:tcW w:w="4293" w:type="dxa"/>
            <w:vAlign w:val="top"/>
          </w:tcPr>
          <w:p w14:paraId="403E8138">
            <w:pPr>
              <w:pStyle w:val="6"/>
              <w:spacing w:before="66" w:line="307" w:lineRule="auto"/>
              <w:ind w:left="112" w:right="105" w:firstLine="6"/>
            </w:pPr>
            <w:r>
              <w:rPr>
                <w:spacing w:val="8"/>
              </w:rPr>
              <w:t>4、行政机关采取查封、扣押措施后，应当</w:t>
            </w:r>
            <w:r>
              <w:rPr>
                <w:spacing w:val="7"/>
              </w:rPr>
              <w:t>及时</w:t>
            </w:r>
            <w:r>
              <w:rPr>
                <w:spacing w:val="9"/>
              </w:rPr>
              <w:t>查清事实，在《中华人民共和国行政强制法》</w:t>
            </w:r>
          </w:p>
          <w:p w14:paraId="0A7F39B8">
            <w:pPr>
              <w:pStyle w:val="6"/>
              <w:spacing w:before="6" w:line="310" w:lineRule="auto"/>
              <w:ind w:left="118" w:right="185" w:firstLine="3"/>
            </w:pPr>
            <w:r>
              <w:rPr>
                <w:spacing w:val="9"/>
              </w:rPr>
              <w:t>第二十五条规定的期限内作出处理决定。对违法事实清楚，依法应当没收的非法财物予以没收；法律、行政法规规定应当销毁的，依法销毁；应当解除查封、扣押的，作出解除查封、</w:t>
            </w:r>
            <w:r>
              <w:rPr>
                <w:spacing w:val="5"/>
              </w:rPr>
              <w:t>扣押的决定。</w:t>
            </w:r>
          </w:p>
        </w:tc>
        <w:tc>
          <w:tcPr>
            <w:tcW w:w="3768" w:type="dxa"/>
            <w:vMerge w:val="continue"/>
            <w:tcBorders>
              <w:top w:val="nil"/>
              <w:bottom w:val="nil"/>
            </w:tcBorders>
            <w:vAlign w:val="top"/>
          </w:tcPr>
          <w:p w14:paraId="3570B3B6">
            <w:pPr>
              <w:rPr>
                <w:rFonts w:ascii="Arial"/>
                <w:sz w:val="21"/>
              </w:rPr>
            </w:pPr>
          </w:p>
        </w:tc>
      </w:tr>
      <w:tr w14:paraId="064E16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7317C211">
            <w:pPr>
              <w:rPr>
                <w:rFonts w:ascii="Arial"/>
                <w:sz w:val="21"/>
              </w:rPr>
            </w:pPr>
          </w:p>
        </w:tc>
        <w:tc>
          <w:tcPr>
            <w:tcW w:w="2568" w:type="dxa"/>
            <w:vMerge w:val="continue"/>
            <w:tcBorders>
              <w:top w:val="nil"/>
            </w:tcBorders>
            <w:vAlign w:val="top"/>
          </w:tcPr>
          <w:p w14:paraId="21894264">
            <w:pPr>
              <w:rPr>
                <w:rFonts w:ascii="Arial"/>
                <w:sz w:val="21"/>
              </w:rPr>
            </w:pPr>
          </w:p>
        </w:tc>
        <w:tc>
          <w:tcPr>
            <w:tcW w:w="3899" w:type="dxa"/>
            <w:vMerge w:val="continue"/>
            <w:tcBorders>
              <w:top w:val="nil"/>
            </w:tcBorders>
            <w:vAlign w:val="top"/>
          </w:tcPr>
          <w:p w14:paraId="796D22C8">
            <w:pPr>
              <w:rPr>
                <w:rFonts w:ascii="Arial"/>
                <w:sz w:val="21"/>
              </w:rPr>
            </w:pPr>
          </w:p>
        </w:tc>
        <w:tc>
          <w:tcPr>
            <w:tcW w:w="4293" w:type="dxa"/>
            <w:vAlign w:val="top"/>
          </w:tcPr>
          <w:p w14:paraId="48AA20FA">
            <w:pPr>
              <w:pStyle w:val="6"/>
              <w:spacing w:before="91" w:line="224" w:lineRule="auto"/>
              <w:ind w:left="122"/>
            </w:pPr>
            <w:r>
              <w:rPr>
                <w:spacing w:val="8"/>
              </w:rPr>
              <w:t>5、其他法律法规规章规定应履行的责任。</w:t>
            </w:r>
          </w:p>
        </w:tc>
        <w:tc>
          <w:tcPr>
            <w:tcW w:w="3768" w:type="dxa"/>
            <w:vMerge w:val="continue"/>
            <w:tcBorders>
              <w:top w:val="nil"/>
            </w:tcBorders>
            <w:vAlign w:val="top"/>
          </w:tcPr>
          <w:p w14:paraId="547D14DC">
            <w:pPr>
              <w:rPr>
                <w:rFonts w:ascii="Arial"/>
                <w:sz w:val="21"/>
              </w:rPr>
            </w:pPr>
          </w:p>
        </w:tc>
      </w:tr>
      <w:tr w14:paraId="72CAD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04F9B6C6">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4BD399FC">
      <w:pPr>
        <w:pStyle w:val="2"/>
      </w:pPr>
    </w:p>
    <w:p w14:paraId="7272F712">
      <w:pPr>
        <w:sectPr>
          <w:footerReference r:id="rId23" w:type="default"/>
          <w:pgSz w:w="16839" w:h="11906"/>
          <w:pgMar w:top="1012" w:right="685" w:bottom="1213" w:left="895" w:header="0" w:footer="938" w:gutter="0"/>
          <w:cols w:space="720" w:num="1"/>
        </w:sectPr>
      </w:pPr>
    </w:p>
    <w:p w14:paraId="7B9D2C38">
      <w:pPr>
        <w:spacing w:before="36"/>
      </w:pPr>
    </w:p>
    <w:p w14:paraId="15B30B67">
      <w:pPr>
        <w:spacing w:before="36"/>
      </w:pPr>
    </w:p>
    <w:p w14:paraId="6B20C788">
      <w:pPr>
        <w:spacing w:before="36"/>
      </w:pPr>
    </w:p>
    <w:p w14:paraId="7ACF2244">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2193"/>
        <w:gridCol w:w="4199"/>
        <w:gridCol w:w="4368"/>
        <w:gridCol w:w="3768"/>
      </w:tblGrid>
      <w:tr w14:paraId="0D8994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560BDCF4">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AEC6B2E">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2193" w:type="dxa"/>
            <w:vAlign w:val="top"/>
          </w:tcPr>
          <w:p w14:paraId="2F1171F4">
            <w:pPr>
              <w:spacing w:before="190" w:line="228" w:lineRule="auto"/>
              <w:ind w:left="679"/>
              <w:rPr>
                <w:rFonts w:ascii="宋体" w:hAnsi="宋体" w:eastAsia="宋体" w:cs="宋体"/>
                <w:sz w:val="20"/>
                <w:szCs w:val="20"/>
              </w:rPr>
            </w:pPr>
            <w:r>
              <w:rPr>
                <w:rFonts w:ascii="宋体" w:hAnsi="宋体" w:eastAsia="宋体" w:cs="宋体"/>
                <w:b/>
                <w:bCs/>
                <w:spacing w:val="6"/>
                <w:sz w:val="20"/>
                <w:szCs w:val="20"/>
              </w:rPr>
              <w:t>职权名称</w:t>
            </w:r>
          </w:p>
        </w:tc>
        <w:tc>
          <w:tcPr>
            <w:tcW w:w="4199" w:type="dxa"/>
            <w:vAlign w:val="top"/>
          </w:tcPr>
          <w:p w14:paraId="0EA3FAF5">
            <w:pPr>
              <w:spacing w:before="190" w:line="228" w:lineRule="auto"/>
              <w:ind w:left="1687"/>
              <w:rPr>
                <w:rFonts w:ascii="宋体" w:hAnsi="宋体" w:eastAsia="宋体" w:cs="宋体"/>
                <w:sz w:val="20"/>
                <w:szCs w:val="20"/>
              </w:rPr>
            </w:pPr>
            <w:r>
              <w:rPr>
                <w:rFonts w:ascii="宋体" w:hAnsi="宋体" w:eastAsia="宋体" w:cs="宋体"/>
                <w:b/>
                <w:bCs/>
                <w:spacing w:val="5"/>
                <w:sz w:val="20"/>
                <w:szCs w:val="20"/>
              </w:rPr>
              <w:t>实施依据</w:t>
            </w:r>
          </w:p>
        </w:tc>
        <w:tc>
          <w:tcPr>
            <w:tcW w:w="4368" w:type="dxa"/>
            <w:vAlign w:val="top"/>
          </w:tcPr>
          <w:p w14:paraId="7557F89A">
            <w:pPr>
              <w:spacing w:before="190" w:line="228" w:lineRule="auto"/>
              <w:ind w:left="1196"/>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3F01058">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14077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6" w:hRule="atLeast"/>
        </w:trPr>
        <w:tc>
          <w:tcPr>
            <w:tcW w:w="724" w:type="dxa"/>
            <w:vMerge w:val="restart"/>
            <w:tcBorders>
              <w:bottom w:val="nil"/>
            </w:tcBorders>
            <w:textDirection w:val="tbRlV"/>
            <w:vAlign w:val="top"/>
          </w:tcPr>
          <w:p w14:paraId="20874B10">
            <w:pPr>
              <w:pStyle w:val="6"/>
              <w:spacing w:before="255" w:line="213" w:lineRule="auto"/>
              <w:ind w:left="2127"/>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2193" w:type="dxa"/>
            <w:vMerge w:val="restart"/>
            <w:tcBorders>
              <w:bottom w:val="nil"/>
            </w:tcBorders>
            <w:vAlign w:val="top"/>
          </w:tcPr>
          <w:p w14:paraId="316A2C41">
            <w:pPr>
              <w:spacing w:line="293" w:lineRule="auto"/>
              <w:rPr>
                <w:rFonts w:ascii="Arial"/>
                <w:sz w:val="21"/>
              </w:rPr>
            </w:pPr>
          </w:p>
          <w:p w14:paraId="52B108C0">
            <w:pPr>
              <w:spacing w:line="294" w:lineRule="auto"/>
              <w:rPr>
                <w:rFonts w:ascii="Arial"/>
                <w:sz w:val="21"/>
              </w:rPr>
            </w:pPr>
          </w:p>
          <w:p w14:paraId="0EB24E4C">
            <w:pPr>
              <w:spacing w:line="294" w:lineRule="auto"/>
              <w:rPr>
                <w:rFonts w:ascii="Arial"/>
                <w:sz w:val="21"/>
              </w:rPr>
            </w:pPr>
          </w:p>
          <w:p w14:paraId="58577D2A">
            <w:pPr>
              <w:pStyle w:val="6"/>
              <w:spacing w:before="62" w:line="310" w:lineRule="auto"/>
              <w:ind w:left="105" w:right="106" w:firstLine="13"/>
            </w:pPr>
            <w:r>
              <w:rPr>
                <w:spacing w:val="7"/>
              </w:rPr>
              <w:t>20.查封、扣押有关合同、票据、账簿以及其他有关资料；查封、扣</w:t>
            </w:r>
            <w:r>
              <w:rPr>
                <w:spacing w:val="9"/>
              </w:rPr>
              <w:t>押不符合法定要求的产品，违法使用的原</w:t>
            </w:r>
            <w:r>
              <w:rPr>
                <w:spacing w:val="7"/>
              </w:rPr>
              <w:t>料、辅料、添加剂、农</w:t>
            </w:r>
            <w:r>
              <w:rPr>
                <w:spacing w:val="9"/>
              </w:rPr>
              <w:t>业投入品以及用于违</w:t>
            </w:r>
            <w:r>
              <w:rPr>
                <w:spacing w:val="7"/>
              </w:rPr>
              <w:t>法生产的工具、设备；</w:t>
            </w:r>
            <w:r>
              <w:rPr>
                <w:spacing w:val="9"/>
              </w:rPr>
              <w:t>查封存在危害人体健康和生命安全重大隐患的生产经营场所</w:t>
            </w:r>
          </w:p>
        </w:tc>
        <w:tc>
          <w:tcPr>
            <w:tcW w:w="4199" w:type="dxa"/>
            <w:vMerge w:val="restart"/>
            <w:tcBorders>
              <w:bottom w:val="nil"/>
            </w:tcBorders>
            <w:vAlign w:val="top"/>
          </w:tcPr>
          <w:p w14:paraId="2625C2D2">
            <w:pPr>
              <w:spacing w:line="241" w:lineRule="auto"/>
              <w:rPr>
                <w:rFonts w:ascii="Arial"/>
                <w:sz w:val="21"/>
              </w:rPr>
            </w:pPr>
          </w:p>
          <w:p w14:paraId="24A675D7">
            <w:pPr>
              <w:spacing w:line="241" w:lineRule="auto"/>
              <w:rPr>
                <w:rFonts w:ascii="Arial"/>
                <w:sz w:val="21"/>
              </w:rPr>
            </w:pPr>
          </w:p>
          <w:p w14:paraId="68C48236">
            <w:pPr>
              <w:spacing w:line="241" w:lineRule="auto"/>
              <w:rPr>
                <w:rFonts w:ascii="Arial"/>
                <w:sz w:val="21"/>
              </w:rPr>
            </w:pPr>
          </w:p>
          <w:p w14:paraId="3F9D36DD">
            <w:pPr>
              <w:pStyle w:val="6"/>
              <w:spacing w:before="62" w:line="226" w:lineRule="auto"/>
              <w:ind w:left="509"/>
            </w:pPr>
            <w:r>
              <w:rPr>
                <w:spacing w:val="9"/>
              </w:rPr>
              <w:t>《国务院关于加强食品等产品安全监督</w:t>
            </w:r>
          </w:p>
          <w:p w14:paraId="743740B1">
            <w:pPr>
              <w:pStyle w:val="6"/>
              <w:spacing w:before="87" w:line="310" w:lineRule="auto"/>
              <w:ind w:left="118" w:right="105" w:hanging="6"/>
            </w:pPr>
            <w:r>
              <w:rPr>
                <w:spacing w:val="3"/>
              </w:rPr>
              <w:t>管理的特别规定》（</w:t>
            </w:r>
            <w:r>
              <w:rPr>
                <w:spacing w:val="-26"/>
              </w:rPr>
              <w:t xml:space="preserve"> </w:t>
            </w:r>
            <w:r>
              <w:rPr>
                <w:spacing w:val="3"/>
              </w:rPr>
              <w:t>国务院令第</w:t>
            </w:r>
            <w:r>
              <w:rPr>
                <w:spacing w:val="-26"/>
              </w:rPr>
              <w:t xml:space="preserve"> </w:t>
            </w:r>
            <w:r>
              <w:rPr>
                <w:spacing w:val="3"/>
              </w:rPr>
              <w:t>503</w:t>
            </w:r>
            <w:r>
              <w:rPr>
                <w:spacing w:val="-30"/>
              </w:rPr>
              <w:t xml:space="preserve"> </w:t>
            </w:r>
            <w:r>
              <w:rPr>
                <w:spacing w:val="3"/>
              </w:rPr>
              <w:t>号）第十</w:t>
            </w:r>
            <w:r>
              <w:rPr>
                <w:spacing w:val="6"/>
              </w:rPr>
              <w:t>五条：</w:t>
            </w:r>
            <w:r>
              <w:rPr>
                <w:spacing w:val="-47"/>
              </w:rPr>
              <w:t xml:space="preserve"> </w:t>
            </w:r>
            <w:r>
              <w:rPr>
                <w:spacing w:val="6"/>
              </w:rPr>
              <w:t>“农业、卫生、质检、商务、工商、药</w:t>
            </w:r>
            <w:r>
              <w:rPr>
                <w:spacing w:val="9"/>
              </w:rPr>
              <w:t>品等监督管理部门履行各自产品安全监督管</w:t>
            </w:r>
          </w:p>
          <w:p w14:paraId="0144B4E2">
            <w:pPr>
              <w:pStyle w:val="6"/>
              <w:spacing w:before="4" w:line="309" w:lineRule="auto"/>
              <w:ind w:left="108" w:right="64" w:firstLine="5"/>
            </w:pPr>
            <w:r>
              <w:rPr>
                <w:spacing w:val="7"/>
              </w:rPr>
              <w:t>理职责，有下列职权</w:t>
            </w:r>
            <w:r>
              <w:rPr>
                <w:spacing w:val="-2"/>
              </w:rPr>
              <w:t>：（</w:t>
            </w:r>
            <w:r>
              <w:rPr>
                <w:spacing w:val="-45"/>
              </w:rPr>
              <w:t xml:space="preserve"> </w:t>
            </w:r>
            <w:r>
              <w:rPr>
                <w:spacing w:val="7"/>
              </w:rPr>
              <w:t>一）进入生产经营场</w:t>
            </w:r>
            <w:r>
              <w:rPr>
                <w:spacing w:val="9"/>
              </w:rPr>
              <w:t>所实施现场检查</w:t>
            </w:r>
            <w:r>
              <w:rPr>
                <w:spacing w:val="-15"/>
              </w:rPr>
              <w:t>；（</w:t>
            </w:r>
            <w:r>
              <w:rPr>
                <w:spacing w:val="-20"/>
              </w:rPr>
              <w:t xml:space="preserve"> </w:t>
            </w:r>
            <w:r>
              <w:rPr>
                <w:spacing w:val="9"/>
              </w:rPr>
              <w:t>二）查阅、复制、查封、</w:t>
            </w:r>
            <w:r>
              <w:rPr>
                <w:spacing w:val="1"/>
              </w:rPr>
              <w:t>扣押有关合同、票据、账簿以及其他有关资料；</w:t>
            </w:r>
            <w:r>
              <w:rPr>
                <w:spacing w:val="9"/>
              </w:rPr>
              <w:t xml:space="preserve"> </w:t>
            </w:r>
            <w:r>
              <w:rPr>
                <w:spacing w:val="6"/>
              </w:rPr>
              <w:t>（</w:t>
            </w:r>
            <w:r>
              <w:rPr>
                <w:spacing w:val="-40"/>
              </w:rPr>
              <w:t xml:space="preserve"> </w:t>
            </w:r>
            <w:r>
              <w:rPr>
                <w:spacing w:val="6"/>
              </w:rPr>
              <w:t>三）查封、扣押不符合法定要求的产品，违</w:t>
            </w:r>
            <w:r>
              <w:rPr>
                <w:spacing w:val="8"/>
              </w:rPr>
              <w:t>法使用的原料、辅料、添加剂、农业投入品以</w:t>
            </w:r>
            <w:r>
              <w:rPr>
                <w:spacing w:val="7"/>
              </w:rPr>
              <w:t>及用于违法生产的工具、设备</w:t>
            </w:r>
            <w:r>
              <w:rPr>
                <w:spacing w:val="-4"/>
              </w:rPr>
              <w:t>；（</w:t>
            </w:r>
            <w:r>
              <w:rPr>
                <w:spacing w:val="-35"/>
              </w:rPr>
              <w:t xml:space="preserve"> </w:t>
            </w:r>
            <w:r>
              <w:rPr>
                <w:spacing w:val="7"/>
              </w:rPr>
              <w:t>四）查封存</w:t>
            </w:r>
            <w:r>
              <w:rPr>
                <w:spacing w:val="9"/>
              </w:rPr>
              <w:t>在危害人体健康和生命安全重大隐患的生产</w:t>
            </w:r>
          </w:p>
          <w:p w14:paraId="264D85F7">
            <w:pPr>
              <w:pStyle w:val="6"/>
              <w:spacing w:before="1" w:line="226" w:lineRule="auto"/>
              <w:ind w:left="116"/>
            </w:pPr>
            <w:r>
              <w:rPr>
                <w:spacing w:val="17"/>
              </w:rPr>
              <w:t>经营场所。</w:t>
            </w:r>
            <w:r>
              <w:rPr>
                <w:spacing w:val="-56"/>
              </w:rPr>
              <w:t xml:space="preserve"> </w:t>
            </w:r>
            <w:r>
              <w:rPr>
                <w:spacing w:val="17"/>
              </w:rPr>
              <w:t>”</w:t>
            </w:r>
          </w:p>
        </w:tc>
        <w:tc>
          <w:tcPr>
            <w:tcW w:w="4368" w:type="dxa"/>
            <w:vAlign w:val="top"/>
          </w:tcPr>
          <w:p w14:paraId="4C09E91D">
            <w:pPr>
              <w:spacing w:line="285" w:lineRule="auto"/>
              <w:rPr>
                <w:rFonts w:ascii="Arial"/>
                <w:sz w:val="21"/>
              </w:rPr>
            </w:pPr>
          </w:p>
          <w:p w14:paraId="384C35E0">
            <w:pPr>
              <w:pStyle w:val="6"/>
              <w:spacing w:before="61" w:line="224" w:lineRule="auto"/>
              <w:ind w:left="125"/>
            </w:pPr>
            <w:r>
              <w:rPr>
                <w:spacing w:val="8"/>
              </w:rPr>
              <w:t>1、核实违法事实，报行政机关负责人批准。</w:t>
            </w:r>
          </w:p>
        </w:tc>
        <w:tc>
          <w:tcPr>
            <w:tcW w:w="3768" w:type="dxa"/>
            <w:vMerge w:val="restart"/>
            <w:tcBorders>
              <w:bottom w:val="nil"/>
            </w:tcBorders>
            <w:vAlign w:val="top"/>
          </w:tcPr>
          <w:p w14:paraId="18EA5271">
            <w:pPr>
              <w:spacing w:line="243" w:lineRule="auto"/>
              <w:rPr>
                <w:rFonts w:ascii="Arial"/>
                <w:sz w:val="21"/>
              </w:rPr>
            </w:pPr>
          </w:p>
          <w:p w14:paraId="74B01F6E">
            <w:pPr>
              <w:spacing w:line="243" w:lineRule="auto"/>
              <w:rPr>
                <w:rFonts w:ascii="Arial"/>
                <w:sz w:val="21"/>
              </w:rPr>
            </w:pPr>
          </w:p>
          <w:p w14:paraId="30F87AF2">
            <w:pPr>
              <w:spacing w:line="243" w:lineRule="auto"/>
              <w:rPr>
                <w:rFonts w:ascii="Arial"/>
                <w:sz w:val="21"/>
              </w:rPr>
            </w:pPr>
          </w:p>
          <w:p w14:paraId="44E2363C">
            <w:pPr>
              <w:spacing w:line="243" w:lineRule="auto"/>
              <w:rPr>
                <w:rFonts w:ascii="Arial"/>
                <w:sz w:val="21"/>
              </w:rPr>
            </w:pPr>
          </w:p>
          <w:p w14:paraId="5B37E194">
            <w:pPr>
              <w:spacing w:line="243" w:lineRule="auto"/>
              <w:rPr>
                <w:rFonts w:ascii="Arial"/>
                <w:sz w:val="21"/>
              </w:rPr>
            </w:pPr>
          </w:p>
          <w:p w14:paraId="1F77F118">
            <w:pPr>
              <w:spacing w:line="243" w:lineRule="auto"/>
              <w:rPr>
                <w:rFonts w:ascii="Arial"/>
                <w:sz w:val="21"/>
              </w:rPr>
            </w:pPr>
          </w:p>
          <w:p w14:paraId="62435619">
            <w:pPr>
              <w:spacing w:line="243" w:lineRule="auto"/>
              <w:rPr>
                <w:rFonts w:ascii="Arial"/>
                <w:sz w:val="21"/>
              </w:rPr>
            </w:pPr>
          </w:p>
          <w:p w14:paraId="25538960">
            <w:pPr>
              <w:spacing w:line="243" w:lineRule="auto"/>
              <w:rPr>
                <w:rFonts w:ascii="Arial"/>
                <w:sz w:val="21"/>
              </w:rPr>
            </w:pPr>
          </w:p>
          <w:p w14:paraId="37BAA96F">
            <w:pPr>
              <w:spacing w:line="244" w:lineRule="auto"/>
              <w:rPr>
                <w:rFonts w:ascii="Arial"/>
                <w:sz w:val="21"/>
              </w:rPr>
            </w:pPr>
          </w:p>
          <w:p w14:paraId="3055556F">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48263A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724" w:type="dxa"/>
            <w:vMerge w:val="continue"/>
            <w:tcBorders>
              <w:top w:val="nil"/>
              <w:bottom w:val="nil"/>
            </w:tcBorders>
            <w:textDirection w:val="tbRlV"/>
            <w:vAlign w:val="top"/>
          </w:tcPr>
          <w:p w14:paraId="2B5C2E3A">
            <w:pPr>
              <w:rPr>
                <w:rFonts w:ascii="Arial"/>
                <w:sz w:val="21"/>
              </w:rPr>
            </w:pPr>
          </w:p>
        </w:tc>
        <w:tc>
          <w:tcPr>
            <w:tcW w:w="2193" w:type="dxa"/>
            <w:vMerge w:val="continue"/>
            <w:tcBorders>
              <w:top w:val="nil"/>
              <w:bottom w:val="nil"/>
            </w:tcBorders>
            <w:vAlign w:val="top"/>
          </w:tcPr>
          <w:p w14:paraId="36C3A327">
            <w:pPr>
              <w:rPr>
                <w:rFonts w:ascii="Arial"/>
                <w:sz w:val="21"/>
              </w:rPr>
            </w:pPr>
          </w:p>
        </w:tc>
        <w:tc>
          <w:tcPr>
            <w:tcW w:w="4199" w:type="dxa"/>
            <w:vMerge w:val="continue"/>
            <w:tcBorders>
              <w:top w:val="nil"/>
              <w:bottom w:val="nil"/>
            </w:tcBorders>
            <w:vAlign w:val="top"/>
          </w:tcPr>
          <w:p w14:paraId="7E7B3778">
            <w:pPr>
              <w:rPr>
                <w:rFonts w:ascii="Arial"/>
                <w:sz w:val="21"/>
              </w:rPr>
            </w:pPr>
          </w:p>
        </w:tc>
        <w:tc>
          <w:tcPr>
            <w:tcW w:w="4368" w:type="dxa"/>
            <w:vAlign w:val="top"/>
          </w:tcPr>
          <w:p w14:paraId="728E213C">
            <w:pPr>
              <w:pStyle w:val="6"/>
              <w:spacing w:before="286" w:line="224" w:lineRule="auto"/>
              <w:ind w:left="120"/>
            </w:pPr>
            <w:r>
              <w:rPr>
                <w:spacing w:val="7"/>
              </w:rPr>
              <w:t>2、依法作出处理决定。</w:t>
            </w:r>
          </w:p>
        </w:tc>
        <w:tc>
          <w:tcPr>
            <w:tcW w:w="3768" w:type="dxa"/>
            <w:vMerge w:val="continue"/>
            <w:tcBorders>
              <w:top w:val="nil"/>
              <w:bottom w:val="nil"/>
            </w:tcBorders>
            <w:vAlign w:val="top"/>
          </w:tcPr>
          <w:p w14:paraId="781443F7">
            <w:pPr>
              <w:rPr>
                <w:rFonts w:ascii="Arial"/>
                <w:sz w:val="21"/>
              </w:rPr>
            </w:pPr>
          </w:p>
        </w:tc>
      </w:tr>
      <w:tr w14:paraId="12CCB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1435A2F3">
            <w:pPr>
              <w:rPr>
                <w:rFonts w:ascii="Arial"/>
                <w:sz w:val="21"/>
              </w:rPr>
            </w:pPr>
          </w:p>
        </w:tc>
        <w:tc>
          <w:tcPr>
            <w:tcW w:w="2193" w:type="dxa"/>
            <w:vMerge w:val="continue"/>
            <w:tcBorders>
              <w:top w:val="nil"/>
              <w:bottom w:val="nil"/>
            </w:tcBorders>
            <w:vAlign w:val="top"/>
          </w:tcPr>
          <w:p w14:paraId="58211BE2">
            <w:pPr>
              <w:rPr>
                <w:rFonts w:ascii="Arial"/>
                <w:sz w:val="21"/>
              </w:rPr>
            </w:pPr>
          </w:p>
        </w:tc>
        <w:tc>
          <w:tcPr>
            <w:tcW w:w="4199" w:type="dxa"/>
            <w:vMerge w:val="continue"/>
            <w:tcBorders>
              <w:top w:val="nil"/>
              <w:bottom w:val="nil"/>
            </w:tcBorders>
            <w:vAlign w:val="top"/>
          </w:tcPr>
          <w:p w14:paraId="1F610D27">
            <w:pPr>
              <w:rPr>
                <w:rFonts w:ascii="Arial"/>
                <w:sz w:val="21"/>
              </w:rPr>
            </w:pPr>
          </w:p>
        </w:tc>
        <w:tc>
          <w:tcPr>
            <w:tcW w:w="4368" w:type="dxa"/>
            <w:vAlign w:val="top"/>
          </w:tcPr>
          <w:p w14:paraId="7B02DED7">
            <w:pPr>
              <w:pStyle w:val="6"/>
              <w:spacing w:before="217" w:line="310" w:lineRule="auto"/>
              <w:ind w:left="109" w:right="46" w:firstLine="18"/>
            </w:pPr>
            <w:r>
              <w:rPr>
                <w:spacing w:val="4"/>
              </w:rPr>
              <w:t>3、制作笔录，告知当事人采取强制措施的理由、</w:t>
            </w:r>
            <w:r>
              <w:rPr>
                <w:spacing w:val="9"/>
              </w:rPr>
              <w:t>依据及当事人依法享有的权利，并当场交付查</w:t>
            </w:r>
            <w:r>
              <w:rPr>
                <w:spacing w:val="4"/>
              </w:rPr>
              <w:t xml:space="preserve"> </w:t>
            </w:r>
            <w:r>
              <w:rPr>
                <w:spacing w:val="9"/>
              </w:rPr>
              <w:t>封、扣押决定书和清单、实施查封、扣押。</w:t>
            </w:r>
          </w:p>
        </w:tc>
        <w:tc>
          <w:tcPr>
            <w:tcW w:w="3768" w:type="dxa"/>
            <w:vMerge w:val="continue"/>
            <w:tcBorders>
              <w:top w:val="nil"/>
              <w:bottom w:val="nil"/>
            </w:tcBorders>
            <w:vAlign w:val="top"/>
          </w:tcPr>
          <w:p w14:paraId="46664ABC">
            <w:pPr>
              <w:rPr>
                <w:rFonts w:ascii="Arial"/>
                <w:sz w:val="21"/>
              </w:rPr>
            </w:pPr>
          </w:p>
        </w:tc>
      </w:tr>
      <w:tr w14:paraId="1165C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6" w:hRule="atLeast"/>
        </w:trPr>
        <w:tc>
          <w:tcPr>
            <w:tcW w:w="724" w:type="dxa"/>
            <w:vMerge w:val="continue"/>
            <w:tcBorders>
              <w:top w:val="nil"/>
              <w:bottom w:val="nil"/>
            </w:tcBorders>
            <w:textDirection w:val="tbRlV"/>
            <w:vAlign w:val="top"/>
          </w:tcPr>
          <w:p w14:paraId="3CAB9A77">
            <w:pPr>
              <w:rPr>
                <w:rFonts w:ascii="Arial"/>
                <w:sz w:val="21"/>
              </w:rPr>
            </w:pPr>
          </w:p>
        </w:tc>
        <w:tc>
          <w:tcPr>
            <w:tcW w:w="2193" w:type="dxa"/>
            <w:vMerge w:val="continue"/>
            <w:tcBorders>
              <w:top w:val="nil"/>
              <w:bottom w:val="nil"/>
            </w:tcBorders>
            <w:vAlign w:val="top"/>
          </w:tcPr>
          <w:p w14:paraId="7E34BB4D">
            <w:pPr>
              <w:rPr>
                <w:rFonts w:ascii="Arial"/>
                <w:sz w:val="21"/>
              </w:rPr>
            </w:pPr>
          </w:p>
        </w:tc>
        <w:tc>
          <w:tcPr>
            <w:tcW w:w="4199" w:type="dxa"/>
            <w:vMerge w:val="continue"/>
            <w:tcBorders>
              <w:top w:val="nil"/>
              <w:bottom w:val="nil"/>
            </w:tcBorders>
            <w:vAlign w:val="top"/>
          </w:tcPr>
          <w:p w14:paraId="5D312972">
            <w:pPr>
              <w:rPr>
                <w:rFonts w:ascii="Arial"/>
                <w:sz w:val="21"/>
              </w:rPr>
            </w:pPr>
          </w:p>
        </w:tc>
        <w:tc>
          <w:tcPr>
            <w:tcW w:w="4368" w:type="dxa"/>
            <w:vAlign w:val="top"/>
          </w:tcPr>
          <w:p w14:paraId="50E2AA34">
            <w:pPr>
              <w:pStyle w:val="6"/>
              <w:spacing w:before="63" w:line="310" w:lineRule="auto"/>
              <w:ind w:left="110" w:right="49" w:firstLine="9"/>
              <w:jc w:val="both"/>
            </w:pPr>
            <w:r>
              <w:rPr>
                <w:spacing w:val="9"/>
              </w:rPr>
              <w:t>4、行政机关采取查封、扣押措施后，应当及时</w:t>
            </w:r>
            <w:r>
              <w:rPr>
                <w:spacing w:val="7"/>
              </w:rPr>
              <w:t>查清事实，在《中华人民共和国行政强制法》第二十五条规定的期限内作出处理决定。对违法事实清楚，依法应当没收的非法财物予以没收；法律、行政法规规定应当销毁的，依法销毁；应当</w:t>
            </w:r>
            <w:r>
              <w:rPr>
                <w:spacing w:val="1"/>
              </w:rPr>
              <w:t>解除查封、扣押的，作出解除查封、扣押的决定。</w:t>
            </w:r>
          </w:p>
        </w:tc>
        <w:tc>
          <w:tcPr>
            <w:tcW w:w="3768" w:type="dxa"/>
            <w:vMerge w:val="continue"/>
            <w:tcBorders>
              <w:top w:val="nil"/>
              <w:bottom w:val="nil"/>
            </w:tcBorders>
            <w:vAlign w:val="top"/>
          </w:tcPr>
          <w:p w14:paraId="15B0F985">
            <w:pPr>
              <w:rPr>
                <w:rFonts w:ascii="Arial"/>
                <w:sz w:val="21"/>
              </w:rPr>
            </w:pPr>
          </w:p>
        </w:tc>
      </w:tr>
      <w:tr w14:paraId="6EB500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3F3FF0FD">
            <w:pPr>
              <w:rPr>
                <w:rFonts w:ascii="Arial"/>
                <w:sz w:val="21"/>
              </w:rPr>
            </w:pPr>
          </w:p>
        </w:tc>
        <w:tc>
          <w:tcPr>
            <w:tcW w:w="2193" w:type="dxa"/>
            <w:vMerge w:val="continue"/>
            <w:tcBorders>
              <w:top w:val="nil"/>
            </w:tcBorders>
            <w:vAlign w:val="top"/>
          </w:tcPr>
          <w:p w14:paraId="1D278764">
            <w:pPr>
              <w:rPr>
                <w:rFonts w:ascii="Arial"/>
                <w:sz w:val="21"/>
              </w:rPr>
            </w:pPr>
          </w:p>
        </w:tc>
        <w:tc>
          <w:tcPr>
            <w:tcW w:w="4199" w:type="dxa"/>
            <w:vMerge w:val="continue"/>
            <w:tcBorders>
              <w:top w:val="nil"/>
            </w:tcBorders>
            <w:vAlign w:val="top"/>
          </w:tcPr>
          <w:p w14:paraId="47786D79">
            <w:pPr>
              <w:rPr>
                <w:rFonts w:ascii="Arial"/>
                <w:sz w:val="21"/>
              </w:rPr>
            </w:pPr>
          </w:p>
        </w:tc>
        <w:tc>
          <w:tcPr>
            <w:tcW w:w="4368" w:type="dxa"/>
            <w:vAlign w:val="top"/>
          </w:tcPr>
          <w:p w14:paraId="6A1767E9">
            <w:pPr>
              <w:pStyle w:val="6"/>
              <w:spacing w:before="91" w:line="224" w:lineRule="auto"/>
              <w:ind w:left="123"/>
            </w:pPr>
            <w:r>
              <w:rPr>
                <w:spacing w:val="8"/>
              </w:rPr>
              <w:t>5、其他法律法规规章规定应履行的责任。</w:t>
            </w:r>
          </w:p>
        </w:tc>
        <w:tc>
          <w:tcPr>
            <w:tcW w:w="3768" w:type="dxa"/>
            <w:vMerge w:val="continue"/>
            <w:tcBorders>
              <w:top w:val="nil"/>
            </w:tcBorders>
            <w:vAlign w:val="top"/>
          </w:tcPr>
          <w:p w14:paraId="6C28E698">
            <w:pPr>
              <w:rPr>
                <w:rFonts w:ascii="Arial"/>
                <w:sz w:val="21"/>
              </w:rPr>
            </w:pPr>
          </w:p>
        </w:tc>
      </w:tr>
      <w:tr w14:paraId="1B8D8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618145C8">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34EEC390">
      <w:pPr>
        <w:pStyle w:val="2"/>
      </w:pPr>
    </w:p>
    <w:p w14:paraId="1A5ECFFD">
      <w:pPr>
        <w:sectPr>
          <w:footerReference r:id="rId24" w:type="default"/>
          <w:pgSz w:w="16839" w:h="11906"/>
          <w:pgMar w:top="1012" w:right="685" w:bottom="1213" w:left="895" w:header="0" w:footer="938" w:gutter="0"/>
          <w:cols w:space="720" w:num="1"/>
        </w:sectPr>
      </w:pPr>
    </w:p>
    <w:p w14:paraId="145BB9AC">
      <w:pPr>
        <w:spacing w:before="36"/>
      </w:pPr>
    </w:p>
    <w:p w14:paraId="39047FDD">
      <w:pPr>
        <w:spacing w:before="36"/>
      </w:pPr>
    </w:p>
    <w:p w14:paraId="1C205F9A">
      <w:pPr>
        <w:spacing w:before="36"/>
      </w:pPr>
    </w:p>
    <w:p w14:paraId="2144413D">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237D0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7B38DDED">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3123F97">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97E643F">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2CD7D14F">
            <w:pPr>
              <w:spacing w:before="190"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660387D4">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93F1136">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ADDE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1" w:hRule="atLeast"/>
        </w:trPr>
        <w:tc>
          <w:tcPr>
            <w:tcW w:w="724" w:type="dxa"/>
            <w:vMerge w:val="restart"/>
            <w:tcBorders>
              <w:bottom w:val="nil"/>
            </w:tcBorders>
            <w:textDirection w:val="tbRlV"/>
            <w:vAlign w:val="top"/>
          </w:tcPr>
          <w:p w14:paraId="7D612989">
            <w:pPr>
              <w:pStyle w:val="6"/>
              <w:spacing w:before="255" w:line="213" w:lineRule="auto"/>
              <w:ind w:left="1962"/>
              <w:rPr>
                <w:sz w:val="20"/>
                <w:szCs w:val="20"/>
              </w:rPr>
            </w:pPr>
            <w:r>
              <w:rPr>
                <w:spacing w:val="7"/>
                <w:sz w:val="20"/>
                <w:szCs w:val="20"/>
              </w:rPr>
              <w:t>行</w:t>
            </w:r>
            <w:r>
              <w:rPr>
                <w:spacing w:val="-24"/>
                <w:sz w:val="20"/>
                <w:szCs w:val="20"/>
              </w:rPr>
              <w:t xml:space="preserve"> </w:t>
            </w:r>
            <w:r>
              <w:rPr>
                <w:spacing w:val="7"/>
                <w:sz w:val="20"/>
                <w:szCs w:val="20"/>
              </w:rPr>
              <w:t>政</w:t>
            </w:r>
            <w:r>
              <w:rPr>
                <w:spacing w:val="-29"/>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22C57E26">
            <w:pPr>
              <w:spacing w:line="260" w:lineRule="auto"/>
              <w:rPr>
                <w:rFonts w:ascii="Arial"/>
                <w:sz w:val="21"/>
              </w:rPr>
            </w:pPr>
          </w:p>
          <w:p w14:paraId="10E2E00F">
            <w:pPr>
              <w:spacing w:line="261" w:lineRule="auto"/>
              <w:rPr>
                <w:rFonts w:ascii="Arial"/>
                <w:sz w:val="21"/>
              </w:rPr>
            </w:pPr>
          </w:p>
          <w:p w14:paraId="51667A01">
            <w:pPr>
              <w:spacing w:line="261" w:lineRule="auto"/>
              <w:rPr>
                <w:rFonts w:ascii="Arial"/>
                <w:sz w:val="21"/>
              </w:rPr>
            </w:pPr>
          </w:p>
          <w:p w14:paraId="2122E419">
            <w:pPr>
              <w:spacing w:line="261" w:lineRule="auto"/>
              <w:rPr>
                <w:rFonts w:ascii="Arial"/>
                <w:sz w:val="21"/>
              </w:rPr>
            </w:pPr>
          </w:p>
          <w:p w14:paraId="32C00F5B">
            <w:pPr>
              <w:spacing w:line="261" w:lineRule="auto"/>
              <w:rPr>
                <w:rFonts w:ascii="Arial"/>
                <w:sz w:val="21"/>
              </w:rPr>
            </w:pPr>
          </w:p>
          <w:p w14:paraId="0FB32A6F">
            <w:pPr>
              <w:spacing w:line="261" w:lineRule="auto"/>
              <w:rPr>
                <w:rFonts w:ascii="Arial"/>
                <w:sz w:val="21"/>
              </w:rPr>
            </w:pPr>
          </w:p>
          <w:p w14:paraId="4961ABA2">
            <w:pPr>
              <w:spacing w:line="261" w:lineRule="auto"/>
              <w:rPr>
                <w:rFonts w:ascii="Arial"/>
                <w:sz w:val="21"/>
              </w:rPr>
            </w:pPr>
          </w:p>
          <w:p w14:paraId="51B4E55F">
            <w:pPr>
              <w:pStyle w:val="6"/>
              <w:spacing w:before="62" w:line="311" w:lineRule="auto"/>
              <w:ind w:left="113" w:right="93" w:firstLine="6"/>
              <w:jc w:val="both"/>
            </w:pPr>
            <w:r>
              <w:rPr>
                <w:spacing w:val="-1"/>
              </w:rPr>
              <w:t>21.将查封、</w:t>
            </w:r>
            <w:r>
              <w:rPr>
                <w:spacing w:val="7"/>
              </w:rPr>
              <w:t>扣押的财物拍卖抵缴罚</w:t>
            </w:r>
            <w:r>
              <w:t>款</w:t>
            </w:r>
          </w:p>
        </w:tc>
        <w:tc>
          <w:tcPr>
            <w:tcW w:w="3307" w:type="dxa"/>
            <w:vMerge w:val="restart"/>
            <w:tcBorders>
              <w:bottom w:val="nil"/>
            </w:tcBorders>
            <w:vAlign w:val="top"/>
          </w:tcPr>
          <w:p w14:paraId="0F75FF1E">
            <w:pPr>
              <w:spacing w:line="270" w:lineRule="auto"/>
              <w:rPr>
                <w:rFonts w:ascii="Arial"/>
                <w:sz w:val="21"/>
              </w:rPr>
            </w:pPr>
          </w:p>
          <w:p w14:paraId="4C076592">
            <w:pPr>
              <w:spacing w:line="270" w:lineRule="auto"/>
              <w:rPr>
                <w:rFonts w:ascii="Arial"/>
                <w:sz w:val="21"/>
              </w:rPr>
            </w:pPr>
          </w:p>
          <w:p w14:paraId="4EB4CDBC">
            <w:pPr>
              <w:spacing w:line="271" w:lineRule="auto"/>
              <w:rPr>
                <w:rFonts w:ascii="Arial"/>
                <w:sz w:val="21"/>
              </w:rPr>
            </w:pPr>
          </w:p>
          <w:p w14:paraId="6739AB70">
            <w:pPr>
              <w:spacing w:line="271" w:lineRule="auto"/>
              <w:rPr>
                <w:rFonts w:ascii="Arial"/>
                <w:sz w:val="21"/>
              </w:rPr>
            </w:pPr>
          </w:p>
          <w:p w14:paraId="432008B6">
            <w:pPr>
              <w:spacing w:line="271" w:lineRule="auto"/>
              <w:rPr>
                <w:rFonts w:ascii="Arial"/>
                <w:sz w:val="21"/>
              </w:rPr>
            </w:pPr>
          </w:p>
          <w:p w14:paraId="4621E81C">
            <w:pPr>
              <w:pStyle w:val="6"/>
              <w:spacing w:before="61" w:line="310" w:lineRule="auto"/>
              <w:ind w:left="110" w:right="47" w:hanging="2"/>
              <w:jc w:val="both"/>
            </w:pPr>
            <w:r>
              <w:rPr>
                <w:spacing w:val="9"/>
              </w:rPr>
              <w:t>《中华人民共和国行政处罚法》第</w:t>
            </w:r>
            <w:r>
              <w:rPr>
                <w:spacing w:val="3"/>
              </w:rPr>
              <w:t>五十一条第二项：</w:t>
            </w:r>
            <w:r>
              <w:rPr>
                <w:spacing w:val="-32"/>
              </w:rPr>
              <w:t xml:space="preserve"> </w:t>
            </w:r>
            <w:r>
              <w:rPr>
                <w:spacing w:val="3"/>
              </w:rPr>
              <w:t>“</w:t>
            </w:r>
            <w:r>
              <w:rPr>
                <w:spacing w:val="-62"/>
              </w:rPr>
              <w:t xml:space="preserve"> </w:t>
            </w:r>
            <w:r>
              <w:rPr>
                <w:spacing w:val="3"/>
              </w:rPr>
              <w:t>当事人逾期不</w:t>
            </w:r>
            <w:r>
              <w:rPr>
                <w:spacing w:val="9"/>
              </w:rPr>
              <w:t>履行行政处罚决定的，作出行政处罚决定的行政机关可以采取下列措</w:t>
            </w:r>
            <w:r>
              <w:rPr>
                <w:spacing w:val="6"/>
              </w:rPr>
              <w:t>施</w:t>
            </w:r>
            <w:r>
              <w:rPr>
                <w:spacing w:val="-14"/>
              </w:rPr>
              <w:t>：（</w:t>
            </w:r>
            <w:r>
              <w:rPr>
                <w:spacing w:val="-49"/>
              </w:rPr>
              <w:t xml:space="preserve"> </w:t>
            </w:r>
            <w:r>
              <w:rPr>
                <w:spacing w:val="6"/>
              </w:rPr>
              <w:t>二）根据法律规定，将查封、</w:t>
            </w:r>
            <w:r>
              <w:rPr>
                <w:spacing w:val="9"/>
              </w:rPr>
              <w:t>扣押的财物拍卖或者将冻结的存款</w:t>
            </w:r>
            <w:r>
              <w:rPr>
                <w:spacing w:val="17"/>
              </w:rPr>
              <w:t>划拨抵缴罚款；</w:t>
            </w:r>
            <w:r>
              <w:rPr>
                <w:spacing w:val="-66"/>
              </w:rPr>
              <w:t xml:space="preserve"> </w:t>
            </w:r>
            <w:r>
              <w:rPr>
                <w:spacing w:val="17"/>
              </w:rPr>
              <w:t>”</w:t>
            </w:r>
          </w:p>
        </w:tc>
        <w:tc>
          <w:tcPr>
            <w:tcW w:w="6193" w:type="dxa"/>
            <w:vAlign w:val="top"/>
          </w:tcPr>
          <w:p w14:paraId="753ED768">
            <w:pPr>
              <w:spacing w:line="354" w:lineRule="auto"/>
              <w:rPr>
                <w:rFonts w:ascii="Arial"/>
                <w:sz w:val="21"/>
              </w:rPr>
            </w:pPr>
          </w:p>
          <w:p w14:paraId="5AE39399">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533A78D2">
            <w:pPr>
              <w:spacing w:line="253" w:lineRule="auto"/>
              <w:rPr>
                <w:rFonts w:ascii="Arial"/>
                <w:sz w:val="21"/>
              </w:rPr>
            </w:pPr>
          </w:p>
          <w:p w14:paraId="532C5F01">
            <w:pPr>
              <w:spacing w:line="253" w:lineRule="auto"/>
              <w:rPr>
                <w:rFonts w:ascii="Arial"/>
                <w:sz w:val="21"/>
              </w:rPr>
            </w:pPr>
          </w:p>
          <w:p w14:paraId="5DFBA67A">
            <w:pPr>
              <w:spacing w:line="253" w:lineRule="auto"/>
              <w:rPr>
                <w:rFonts w:ascii="Arial"/>
                <w:sz w:val="21"/>
              </w:rPr>
            </w:pPr>
          </w:p>
          <w:p w14:paraId="2955995C">
            <w:pPr>
              <w:spacing w:line="253" w:lineRule="auto"/>
              <w:rPr>
                <w:rFonts w:ascii="Arial"/>
                <w:sz w:val="21"/>
              </w:rPr>
            </w:pPr>
          </w:p>
          <w:p w14:paraId="58FB4F1C">
            <w:pPr>
              <w:spacing w:line="253" w:lineRule="auto"/>
              <w:rPr>
                <w:rFonts w:ascii="Arial"/>
                <w:sz w:val="21"/>
              </w:rPr>
            </w:pPr>
          </w:p>
          <w:p w14:paraId="75D80012">
            <w:pPr>
              <w:spacing w:line="253" w:lineRule="auto"/>
              <w:rPr>
                <w:rFonts w:ascii="Arial"/>
                <w:sz w:val="21"/>
              </w:rPr>
            </w:pPr>
          </w:p>
          <w:p w14:paraId="6F971BBB">
            <w:pPr>
              <w:spacing w:line="253" w:lineRule="auto"/>
              <w:rPr>
                <w:rFonts w:ascii="Arial"/>
                <w:sz w:val="21"/>
              </w:rPr>
            </w:pPr>
          </w:p>
          <w:p w14:paraId="023CFC98">
            <w:pPr>
              <w:spacing w:line="253" w:lineRule="auto"/>
              <w:rPr>
                <w:rFonts w:ascii="Arial"/>
                <w:sz w:val="21"/>
              </w:rPr>
            </w:pPr>
          </w:p>
          <w:p w14:paraId="3691FE5E">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664071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24" w:type="dxa"/>
            <w:vMerge w:val="continue"/>
            <w:tcBorders>
              <w:top w:val="nil"/>
              <w:bottom w:val="nil"/>
            </w:tcBorders>
            <w:textDirection w:val="tbRlV"/>
            <w:vAlign w:val="top"/>
          </w:tcPr>
          <w:p w14:paraId="592726DF">
            <w:pPr>
              <w:rPr>
                <w:rFonts w:ascii="Arial"/>
                <w:sz w:val="21"/>
              </w:rPr>
            </w:pPr>
          </w:p>
        </w:tc>
        <w:tc>
          <w:tcPr>
            <w:tcW w:w="1260" w:type="dxa"/>
            <w:vMerge w:val="continue"/>
            <w:tcBorders>
              <w:top w:val="nil"/>
              <w:bottom w:val="nil"/>
            </w:tcBorders>
            <w:vAlign w:val="top"/>
          </w:tcPr>
          <w:p w14:paraId="2C81CB10">
            <w:pPr>
              <w:rPr>
                <w:rFonts w:ascii="Arial"/>
                <w:sz w:val="21"/>
              </w:rPr>
            </w:pPr>
          </w:p>
        </w:tc>
        <w:tc>
          <w:tcPr>
            <w:tcW w:w="3307" w:type="dxa"/>
            <w:vMerge w:val="continue"/>
            <w:tcBorders>
              <w:top w:val="nil"/>
              <w:bottom w:val="nil"/>
            </w:tcBorders>
            <w:vAlign w:val="top"/>
          </w:tcPr>
          <w:p w14:paraId="716F5B47">
            <w:pPr>
              <w:rPr>
                <w:rFonts w:ascii="Arial"/>
                <w:sz w:val="21"/>
              </w:rPr>
            </w:pPr>
          </w:p>
        </w:tc>
        <w:tc>
          <w:tcPr>
            <w:tcW w:w="6193" w:type="dxa"/>
            <w:vAlign w:val="top"/>
          </w:tcPr>
          <w:p w14:paraId="158CAE03">
            <w:pPr>
              <w:spacing w:line="299" w:lineRule="auto"/>
              <w:rPr>
                <w:rFonts w:ascii="Arial"/>
                <w:sz w:val="21"/>
              </w:rPr>
            </w:pPr>
          </w:p>
          <w:p w14:paraId="04D0BA04">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7B549650">
            <w:pPr>
              <w:rPr>
                <w:rFonts w:ascii="Arial"/>
                <w:sz w:val="21"/>
              </w:rPr>
            </w:pPr>
          </w:p>
        </w:tc>
      </w:tr>
      <w:tr w14:paraId="51E78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724" w:type="dxa"/>
            <w:vMerge w:val="continue"/>
            <w:tcBorders>
              <w:top w:val="nil"/>
              <w:bottom w:val="nil"/>
            </w:tcBorders>
            <w:textDirection w:val="tbRlV"/>
            <w:vAlign w:val="top"/>
          </w:tcPr>
          <w:p w14:paraId="2A0903CA">
            <w:pPr>
              <w:rPr>
                <w:rFonts w:ascii="Arial"/>
                <w:sz w:val="21"/>
              </w:rPr>
            </w:pPr>
          </w:p>
        </w:tc>
        <w:tc>
          <w:tcPr>
            <w:tcW w:w="1260" w:type="dxa"/>
            <w:vMerge w:val="continue"/>
            <w:tcBorders>
              <w:top w:val="nil"/>
              <w:bottom w:val="nil"/>
            </w:tcBorders>
            <w:vAlign w:val="top"/>
          </w:tcPr>
          <w:p w14:paraId="2694AA9C">
            <w:pPr>
              <w:rPr>
                <w:rFonts w:ascii="Arial"/>
                <w:sz w:val="21"/>
              </w:rPr>
            </w:pPr>
          </w:p>
        </w:tc>
        <w:tc>
          <w:tcPr>
            <w:tcW w:w="3307" w:type="dxa"/>
            <w:vMerge w:val="continue"/>
            <w:tcBorders>
              <w:top w:val="nil"/>
              <w:bottom w:val="nil"/>
            </w:tcBorders>
            <w:vAlign w:val="top"/>
          </w:tcPr>
          <w:p w14:paraId="56BA7341">
            <w:pPr>
              <w:rPr>
                <w:rFonts w:ascii="Arial"/>
                <w:sz w:val="21"/>
              </w:rPr>
            </w:pPr>
          </w:p>
        </w:tc>
        <w:tc>
          <w:tcPr>
            <w:tcW w:w="6193" w:type="dxa"/>
            <w:vAlign w:val="top"/>
          </w:tcPr>
          <w:p w14:paraId="45E5A378">
            <w:pPr>
              <w:pStyle w:val="6"/>
              <w:spacing w:before="231" w:line="307"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1D27565F">
            <w:pPr>
              <w:rPr>
                <w:rFonts w:ascii="Arial"/>
                <w:sz w:val="21"/>
              </w:rPr>
            </w:pPr>
          </w:p>
        </w:tc>
      </w:tr>
      <w:tr w14:paraId="29B96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78C1B53F">
            <w:pPr>
              <w:rPr>
                <w:rFonts w:ascii="Arial"/>
                <w:sz w:val="21"/>
              </w:rPr>
            </w:pPr>
          </w:p>
        </w:tc>
        <w:tc>
          <w:tcPr>
            <w:tcW w:w="1260" w:type="dxa"/>
            <w:vMerge w:val="continue"/>
            <w:tcBorders>
              <w:top w:val="nil"/>
              <w:bottom w:val="nil"/>
            </w:tcBorders>
            <w:vAlign w:val="top"/>
          </w:tcPr>
          <w:p w14:paraId="7FA887D5">
            <w:pPr>
              <w:rPr>
                <w:rFonts w:ascii="Arial"/>
                <w:sz w:val="21"/>
              </w:rPr>
            </w:pPr>
          </w:p>
        </w:tc>
        <w:tc>
          <w:tcPr>
            <w:tcW w:w="3307" w:type="dxa"/>
            <w:vMerge w:val="continue"/>
            <w:tcBorders>
              <w:top w:val="nil"/>
              <w:bottom w:val="nil"/>
            </w:tcBorders>
            <w:vAlign w:val="top"/>
          </w:tcPr>
          <w:p w14:paraId="739353CF">
            <w:pPr>
              <w:rPr>
                <w:rFonts w:ascii="Arial"/>
                <w:sz w:val="21"/>
              </w:rPr>
            </w:pPr>
          </w:p>
        </w:tc>
        <w:tc>
          <w:tcPr>
            <w:tcW w:w="6193" w:type="dxa"/>
            <w:vAlign w:val="top"/>
          </w:tcPr>
          <w:p w14:paraId="6250A763">
            <w:pPr>
              <w:pStyle w:val="6"/>
              <w:spacing w:before="67"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7E983E5D">
            <w:pPr>
              <w:rPr>
                <w:rFonts w:ascii="Arial"/>
                <w:sz w:val="21"/>
              </w:rPr>
            </w:pPr>
          </w:p>
        </w:tc>
      </w:tr>
      <w:tr w14:paraId="3E33E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59FFF27B">
            <w:pPr>
              <w:rPr>
                <w:rFonts w:ascii="Arial"/>
                <w:sz w:val="21"/>
              </w:rPr>
            </w:pPr>
          </w:p>
        </w:tc>
        <w:tc>
          <w:tcPr>
            <w:tcW w:w="1260" w:type="dxa"/>
            <w:vMerge w:val="continue"/>
            <w:tcBorders>
              <w:top w:val="nil"/>
            </w:tcBorders>
            <w:vAlign w:val="top"/>
          </w:tcPr>
          <w:p w14:paraId="6080CBDB">
            <w:pPr>
              <w:rPr>
                <w:rFonts w:ascii="Arial"/>
                <w:sz w:val="21"/>
              </w:rPr>
            </w:pPr>
          </w:p>
        </w:tc>
        <w:tc>
          <w:tcPr>
            <w:tcW w:w="3307" w:type="dxa"/>
            <w:vMerge w:val="continue"/>
            <w:tcBorders>
              <w:top w:val="nil"/>
            </w:tcBorders>
            <w:vAlign w:val="top"/>
          </w:tcPr>
          <w:p w14:paraId="0AEB9783">
            <w:pPr>
              <w:rPr>
                <w:rFonts w:ascii="Arial"/>
                <w:sz w:val="21"/>
              </w:rPr>
            </w:pPr>
          </w:p>
        </w:tc>
        <w:tc>
          <w:tcPr>
            <w:tcW w:w="6193" w:type="dxa"/>
            <w:vAlign w:val="top"/>
          </w:tcPr>
          <w:p w14:paraId="06518CA5">
            <w:pPr>
              <w:pStyle w:val="6"/>
              <w:spacing w:before="91" w:line="224" w:lineRule="auto"/>
              <w:ind w:left="121"/>
            </w:pPr>
            <w:r>
              <w:rPr>
                <w:spacing w:val="8"/>
              </w:rPr>
              <w:t>5、其他法律法规规章规定应履行的责任。</w:t>
            </w:r>
          </w:p>
        </w:tc>
        <w:tc>
          <w:tcPr>
            <w:tcW w:w="3768" w:type="dxa"/>
            <w:vMerge w:val="continue"/>
            <w:tcBorders>
              <w:top w:val="nil"/>
            </w:tcBorders>
            <w:vAlign w:val="top"/>
          </w:tcPr>
          <w:p w14:paraId="11CE0424">
            <w:pPr>
              <w:rPr>
                <w:rFonts w:ascii="Arial"/>
                <w:sz w:val="21"/>
              </w:rPr>
            </w:pPr>
          </w:p>
        </w:tc>
      </w:tr>
      <w:tr w14:paraId="638061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349C7EA">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E39608D">
      <w:pPr>
        <w:pStyle w:val="2"/>
      </w:pPr>
    </w:p>
    <w:p w14:paraId="148701C5">
      <w:pPr>
        <w:sectPr>
          <w:footerReference r:id="rId25" w:type="default"/>
          <w:pgSz w:w="16839" w:h="11906"/>
          <w:pgMar w:top="1012" w:right="685" w:bottom="1213" w:left="895" w:header="0" w:footer="936" w:gutter="0"/>
          <w:cols w:space="720" w:num="1"/>
        </w:sectPr>
      </w:pPr>
    </w:p>
    <w:p w14:paraId="4C9473EF">
      <w:pPr>
        <w:spacing w:before="36"/>
      </w:pPr>
    </w:p>
    <w:p w14:paraId="1D172A9A">
      <w:pPr>
        <w:spacing w:before="36"/>
      </w:pPr>
    </w:p>
    <w:p w14:paraId="778393CA">
      <w:pPr>
        <w:spacing w:before="36"/>
      </w:pPr>
    </w:p>
    <w:p w14:paraId="3592059B">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2868"/>
        <w:gridCol w:w="3299"/>
        <w:gridCol w:w="4592"/>
        <w:gridCol w:w="3769"/>
      </w:tblGrid>
      <w:tr w14:paraId="7C398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6D3F5489">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5A4906A5">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2868" w:type="dxa"/>
            <w:vAlign w:val="top"/>
          </w:tcPr>
          <w:p w14:paraId="78641B4B">
            <w:pPr>
              <w:spacing w:before="190" w:line="228" w:lineRule="auto"/>
              <w:ind w:left="1017"/>
              <w:rPr>
                <w:rFonts w:ascii="宋体" w:hAnsi="宋体" w:eastAsia="宋体" w:cs="宋体"/>
                <w:sz w:val="20"/>
                <w:szCs w:val="20"/>
              </w:rPr>
            </w:pPr>
            <w:r>
              <w:rPr>
                <w:rFonts w:ascii="宋体" w:hAnsi="宋体" w:eastAsia="宋体" w:cs="宋体"/>
                <w:b/>
                <w:bCs/>
                <w:spacing w:val="6"/>
                <w:sz w:val="20"/>
                <w:szCs w:val="20"/>
              </w:rPr>
              <w:t>职权名称</w:t>
            </w:r>
          </w:p>
        </w:tc>
        <w:tc>
          <w:tcPr>
            <w:tcW w:w="3299" w:type="dxa"/>
            <w:vAlign w:val="top"/>
          </w:tcPr>
          <w:p w14:paraId="7A7AE6DA">
            <w:pPr>
              <w:spacing w:before="190" w:line="228" w:lineRule="auto"/>
              <w:ind w:left="1237"/>
              <w:rPr>
                <w:rFonts w:ascii="宋体" w:hAnsi="宋体" w:eastAsia="宋体" w:cs="宋体"/>
                <w:sz w:val="20"/>
                <w:szCs w:val="20"/>
              </w:rPr>
            </w:pPr>
            <w:r>
              <w:rPr>
                <w:rFonts w:ascii="宋体" w:hAnsi="宋体" w:eastAsia="宋体" w:cs="宋体"/>
                <w:b/>
                <w:bCs/>
                <w:spacing w:val="5"/>
                <w:sz w:val="20"/>
                <w:szCs w:val="20"/>
              </w:rPr>
              <w:t>实施依据</w:t>
            </w:r>
          </w:p>
        </w:tc>
        <w:tc>
          <w:tcPr>
            <w:tcW w:w="4592" w:type="dxa"/>
            <w:vAlign w:val="top"/>
          </w:tcPr>
          <w:p w14:paraId="101DFC5E">
            <w:pPr>
              <w:spacing w:before="190" w:line="228" w:lineRule="auto"/>
              <w:ind w:left="1308"/>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483545FD">
            <w:pPr>
              <w:spacing w:before="190"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70C36C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6" w:hRule="atLeast"/>
        </w:trPr>
        <w:tc>
          <w:tcPr>
            <w:tcW w:w="724" w:type="dxa"/>
            <w:vMerge w:val="restart"/>
            <w:tcBorders>
              <w:bottom w:val="nil"/>
            </w:tcBorders>
            <w:textDirection w:val="tbRlV"/>
            <w:vAlign w:val="top"/>
          </w:tcPr>
          <w:p w14:paraId="395D0822">
            <w:pPr>
              <w:pStyle w:val="6"/>
              <w:spacing w:before="255" w:line="213" w:lineRule="auto"/>
              <w:ind w:left="2223"/>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2868" w:type="dxa"/>
            <w:vMerge w:val="restart"/>
            <w:tcBorders>
              <w:bottom w:val="nil"/>
            </w:tcBorders>
            <w:vAlign w:val="top"/>
          </w:tcPr>
          <w:p w14:paraId="20E19DE2">
            <w:pPr>
              <w:spacing w:line="268" w:lineRule="auto"/>
              <w:rPr>
                <w:rFonts w:ascii="Arial"/>
                <w:sz w:val="21"/>
              </w:rPr>
            </w:pPr>
          </w:p>
          <w:p w14:paraId="179C0701">
            <w:pPr>
              <w:spacing w:line="269" w:lineRule="auto"/>
              <w:rPr>
                <w:rFonts w:ascii="Arial"/>
                <w:sz w:val="21"/>
              </w:rPr>
            </w:pPr>
          </w:p>
          <w:p w14:paraId="1C3401D6">
            <w:pPr>
              <w:spacing w:line="269" w:lineRule="auto"/>
              <w:rPr>
                <w:rFonts w:ascii="Arial"/>
                <w:sz w:val="21"/>
              </w:rPr>
            </w:pPr>
          </w:p>
          <w:p w14:paraId="217CE2FE">
            <w:pPr>
              <w:spacing w:line="269" w:lineRule="auto"/>
              <w:rPr>
                <w:rFonts w:ascii="Arial"/>
                <w:sz w:val="21"/>
              </w:rPr>
            </w:pPr>
          </w:p>
          <w:p w14:paraId="13AB1EFF">
            <w:pPr>
              <w:spacing w:line="269" w:lineRule="auto"/>
              <w:rPr>
                <w:rFonts w:ascii="Arial"/>
                <w:sz w:val="21"/>
              </w:rPr>
            </w:pPr>
          </w:p>
          <w:p w14:paraId="5EEFD723">
            <w:pPr>
              <w:spacing w:line="269" w:lineRule="auto"/>
              <w:rPr>
                <w:rFonts w:ascii="Arial"/>
                <w:sz w:val="21"/>
              </w:rPr>
            </w:pPr>
          </w:p>
          <w:p w14:paraId="5794DE44">
            <w:pPr>
              <w:pStyle w:val="6"/>
              <w:spacing w:before="62" w:line="310" w:lineRule="auto"/>
              <w:ind w:left="113" w:right="160" w:firstLine="6"/>
            </w:pPr>
            <w:r>
              <w:rPr>
                <w:spacing w:val="7"/>
              </w:rPr>
              <w:t>22.对有根据认为不符合保障</w:t>
            </w:r>
            <w:r>
              <w:rPr>
                <w:spacing w:val="9"/>
              </w:rPr>
              <w:t>人体健康和人身、财产安全的国家标准、行业标准的产品或者有其他严重质量问题的产</w:t>
            </w:r>
          </w:p>
          <w:p w14:paraId="4D8F88D6">
            <w:pPr>
              <w:pStyle w:val="6"/>
              <w:spacing w:before="1" w:line="309" w:lineRule="auto"/>
              <w:ind w:left="109" w:right="47" w:firstLine="26"/>
            </w:pPr>
            <w:r>
              <w:rPr>
                <w:spacing w:val="3"/>
              </w:rPr>
              <w:t>品，</w:t>
            </w:r>
            <w:r>
              <w:rPr>
                <w:spacing w:val="-39"/>
              </w:rPr>
              <w:t xml:space="preserve"> </w:t>
            </w:r>
            <w:r>
              <w:rPr>
                <w:spacing w:val="3"/>
              </w:rPr>
              <w:t>以及直接用于生产、销售该项产品的原辅材料、包装物、</w:t>
            </w:r>
            <w:r>
              <w:rPr>
                <w:spacing w:val="9"/>
              </w:rPr>
              <w:t>生产工具予以查封或者扣押</w:t>
            </w:r>
          </w:p>
        </w:tc>
        <w:tc>
          <w:tcPr>
            <w:tcW w:w="3299" w:type="dxa"/>
            <w:vMerge w:val="restart"/>
            <w:tcBorders>
              <w:bottom w:val="nil"/>
            </w:tcBorders>
            <w:vAlign w:val="top"/>
          </w:tcPr>
          <w:p w14:paraId="5B04F254">
            <w:pPr>
              <w:spacing w:line="273" w:lineRule="auto"/>
              <w:rPr>
                <w:rFonts w:ascii="Arial"/>
                <w:sz w:val="21"/>
              </w:rPr>
            </w:pPr>
          </w:p>
          <w:p w14:paraId="06CA8870">
            <w:pPr>
              <w:spacing w:line="273" w:lineRule="auto"/>
              <w:rPr>
                <w:rFonts w:ascii="Arial"/>
                <w:sz w:val="21"/>
              </w:rPr>
            </w:pPr>
          </w:p>
          <w:p w14:paraId="752B1E8B">
            <w:pPr>
              <w:spacing w:line="273" w:lineRule="auto"/>
              <w:rPr>
                <w:rFonts w:ascii="Arial"/>
                <w:sz w:val="21"/>
              </w:rPr>
            </w:pPr>
          </w:p>
          <w:p w14:paraId="18EABE59">
            <w:pPr>
              <w:pStyle w:val="6"/>
              <w:spacing w:before="62" w:line="310" w:lineRule="auto"/>
              <w:ind w:left="107" w:right="10" w:firstLine="384"/>
              <w:jc w:val="both"/>
            </w:pPr>
            <w:r>
              <w:rPr>
                <w:spacing w:val="9"/>
              </w:rPr>
              <w:t>《中华人民共和国产品质量法》</w:t>
            </w:r>
            <w:r>
              <w:rPr>
                <w:spacing w:val="6"/>
              </w:rPr>
              <w:t>第十八条第一款：</w:t>
            </w:r>
            <w:r>
              <w:rPr>
                <w:spacing w:val="-41"/>
              </w:rPr>
              <w:t xml:space="preserve"> </w:t>
            </w:r>
            <w:r>
              <w:rPr>
                <w:spacing w:val="6"/>
              </w:rPr>
              <w:t>“县级以上产品</w:t>
            </w:r>
            <w:r>
              <w:rPr>
                <w:spacing w:val="9"/>
              </w:rPr>
              <w:t>质量监督部门根据已经取得的违法嫌疑证据或者举报，对涉嫌违反本法规定的行为进行查处时，可以行</w:t>
            </w:r>
            <w:r>
              <w:rPr>
                <w:spacing w:val="5"/>
              </w:rPr>
              <w:t>使下列职权：</w:t>
            </w:r>
            <w:r>
              <w:rPr>
                <w:spacing w:val="54"/>
              </w:rPr>
              <w:t xml:space="preserve"> </w:t>
            </w:r>
            <w:r>
              <w:rPr>
                <w:spacing w:val="5"/>
              </w:rPr>
              <w:t>(四)对有根据认为不</w:t>
            </w:r>
            <w:r>
              <w:rPr>
                <w:spacing w:val="9"/>
              </w:rPr>
              <w:t>符合保障人体健康和人身、财产安全的国家标准、行业标准的产品或</w:t>
            </w:r>
            <w:r>
              <w:rPr>
                <w:spacing w:val="6"/>
              </w:rPr>
              <w:t>者有其他严重质量问题的产品，</w:t>
            </w:r>
            <w:r>
              <w:rPr>
                <w:spacing w:val="-41"/>
              </w:rPr>
              <w:t xml:space="preserve"> </w:t>
            </w:r>
            <w:r>
              <w:rPr>
                <w:spacing w:val="6"/>
              </w:rPr>
              <w:t>以</w:t>
            </w:r>
            <w:r>
              <w:rPr>
                <w:spacing w:val="9"/>
              </w:rPr>
              <w:t>及直接用于生产、销售该项产品的原辅材料、包装物、生产工具，予</w:t>
            </w:r>
            <w:r>
              <w:rPr>
                <w:spacing w:val="16"/>
              </w:rPr>
              <w:t>以查封或者扣押。</w:t>
            </w:r>
            <w:r>
              <w:rPr>
                <w:spacing w:val="-60"/>
              </w:rPr>
              <w:t xml:space="preserve"> </w:t>
            </w:r>
            <w:r>
              <w:rPr>
                <w:spacing w:val="16"/>
              </w:rPr>
              <w:t>”</w:t>
            </w:r>
          </w:p>
        </w:tc>
        <w:tc>
          <w:tcPr>
            <w:tcW w:w="4592" w:type="dxa"/>
            <w:vAlign w:val="top"/>
          </w:tcPr>
          <w:p w14:paraId="61BEF505">
            <w:pPr>
              <w:spacing w:line="344" w:lineRule="auto"/>
              <w:rPr>
                <w:rFonts w:ascii="Arial"/>
                <w:sz w:val="21"/>
              </w:rPr>
            </w:pPr>
          </w:p>
          <w:p w14:paraId="6FF77E3B">
            <w:pPr>
              <w:pStyle w:val="6"/>
              <w:spacing w:before="62" w:line="224" w:lineRule="auto"/>
              <w:ind w:left="125"/>
            </w:pPr>
            <w:r>
              <w:rPr>
                <w:spacing w:val="8"/>
              </w:rPr>
              <w:t>1、核实违法事实，报行政机关负责人批准。</w:t>
            </w:r>
          </w:p>
        </w:tc>
        <w:tc>
          <w:tcPr>
            <w:tcW w:w="3769" w:type="dxa"/>
            <w:vMerge w:val="restart"/>
            <w:tcBorders>
              <w:bottom w:val="nil"/>
            </w:tcBorders>
            <w:vAlign w:val="top"/>
          </w:tcPr>
          <w:p w14:paraId="40CD8527">
            <w:pPr>
              <w:spacing w:line="253" w:lineRule="auto"/>
              <w:rPr>
                <w:rFonts w:ascii="Arial"/>
                <w:sz w:val="21"/>
              </w:rPr>
            </w:pPr>
          </w:p>
          <w:p w14:paraId="63739782">
            <w:pPr>
              <w:spacing w:line="253" w:lineRule="auto"/>
              <w:rPr>
                <w:rFonts w:ascii="Arial"/>
                <w:sz w:val="21"/>
              </w:rPr>
            </w:pPr>
          </w:p>
          <w:p w14:paraId="7E45CE44">
            <w:pPr>
              <w:spacing w:line="253" w:lineRule="auto"/>
              <w:rPr>
                <w:rFonts w:ascii="Arial"/>
                <w:sz w:val="21"/>
              </w:rPr>
            </w:pPr>
          </w:p>
          <w:p w14:paraId="078134E8">
            <w:pPr>
              <w:spacing w:line="254" w:lineRule="auto"/>
              <w:rPr>
                <w:rFonts w:ascii="Arial"/>
                <w:sz w:val="21"/>
              </w:rPr>
            </w:pPr>
          </w:p>
          <w:p w14:paraId="12C93A0E">
            <w:pPr>
              <w:spacing w:line="254" w:lineRule="auto"/>
              <w:rPr>
                <w:rFonts w:ascii="Arial"/>
                <w:sz w:val="21"/>
              </w:rPr>
            </w:pPr>
          </w:p>
          <w:p w14:paraId="23E848C2">
            <w:pPr>
              <w:spacing w:line="254" w:lineRule="auto"/>
              <w:rPr>
                <w:rFonts w:ascii="Arial"/>
                <w:sz w:val="21"/>
              </w:rPr>
            </w:pPr>
          </w:p>
          <w:p w14:paraId="151BF113">
            <w:pPr>
              <w:spacing w:line="254" w:lineRule="auto"/>
              <w:rPr>
                <w:rFonts w:ascii="Arial"/>
                <w:sz w:val="21"/>
              </w:rPr>
            </w:pPr>
          </w:p>
          <w:p w14:paraId="07107FAD">
            <w:pPr>
              <w:spacing w:line="254" w:lineRule="auto"/>
              <w:rPr>
                <w:rFonts w:ascii="Arial"/>
                <w:sz w:val="21"/>
              </w:rPr>
            </w:pPr>
          </w:p>
          <w:p w14:paraId="41E95CDE">
            <w:pPr>
              <w:spacing w:line="254" w:lineRule="auto"/>
              <w:rPr>
                <w:rFonts w:ascii="Arial"/>
                <w:sz w:val="21"/>
              </w:rPr>
            </w:pPr>
          </w:p>
          <w:p w14:paraId="2B9222F4">
            <w:pPr>
              <w:pStyle w:val="6"/>
              <w:spacing w:before="65" w:line="259" w:lineRule="auto"/>
              <w:ind w:left="114"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7E2F8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24" w:type="dxa"/>
            <w:vMerge w:val="continue"/>
            <w:tcBorders>
              <w:top w:val="nil"/>
              <w:bottom w:val="nil"/>
            </w:tcBorders>
            <w:textDirection w:val="tbRlV"/>
            <w:vAlign w:val="top"/>
          </w:tcPr>
          <w:p w14:paraId="11F68E3D">
            <w:pPr>
              <w:rPr>
                <w:rFonts w:ascii="Arial"/>
                <w:sz w:val="21"/>
              </w:rPr>
            </w:pPr>
          </w:p>
        </w:tc>
        <w:tc>
          <w:tcPr>
            <w:tcW w:w="2868" w:type="dxa"/>
            <w:vMerge w:val="continue"/>
            <w:tcBorders>
              <w:top w:val="nil"/>
              <w:bottom w:val="nil"/>
            </w:tcBorders>
            <w:vAlign w:val="top"/>
          </w:tcPr>
          <w:p w14:paraId="49B1F65F">
            <w:pPr>
              <w:rPr>
                <w:rFonts w:ascii="Arial"/>
                <w:sz w:val="21"/>
              </w:rPr>
            </w:pPr>
          </w:p>
        </w:tc>
        <w:tc>
          <w:tcPr>
            <w:tcW w:w="3299" w:type="dxa"/>
            <w:vMerge w:val="continue"/>
            <w:tcBorders>
              <w:top w:val="nil"/>
              <w:bottom w:val="nil"/>
            </w:tcBorders>
            <w:vAlign w:val="top"/>
          </w:tcPr>
          <w:p w14:paraId="1CAC6C7B">
            <w:pPr>
              <w:rPr>
                <w:rFonts w:ascii="Arial"/>
                <w:sz w:val="21"/>
              </w:rPr>
            </w:pPr>
          </w:p>
        </w:tc>
        <w:tc>
          <w:tcPr>
            <w:tcW w:w="4592" w:type="dxa"/>
            <w:vAlign w:val="top"/>
          </w:tcPr>
          <w:p w14:paraId="09A71AA4">
            <w:pPr>
              <w:spacing w:line="261" w:lineRule="auto"/>
              <w:rPr>
                <w:rFonts w:ascii="Arial"/>
                <w:sz w:val="21"/>
              </w:rPr>
            </w:pPr>
          </w:p>
          <w:p w14:paraId="4900D83D">
            <w:pPr>
              <w:pStyle w:val="6"/>
              <w:spacing w:before="62" w:line="224" w:lineRule="auto"/>
              <w:ind w:left="120"/>
            </w:pPr>
            <w:r>
              <w:rPr>
                <w:spacing w:val="7"/>
              </w:rPr>
              <w:t>2、依法作出处理决定。</w:t>
            </w:r>
          </w:p>
        </w:tc>
        <w:tc>
          <w:tcPr>
            <w:tcW w:w="3769" w:type="dxa"/>
            <w:vMerge w:val="continue"/>
            <w:tcBorders>
              <w:top w:val="nil"/>
              <w:bottom w:val="nil"/>
            </w:tcBorders>
            <w:vAlign w:val="top"/>
          </w:tcPr>
          <w:p w14:paraId="3814C5D3">
            <w:pPr>
              <w:rPr>
                <w:rFonts w:ascii="Arial"/>
                <w:sz w:val="21"/>
              </w:rPr>
            </w:pPr>
          </w:p>
        </w:tc>
      </w:tr>
      <w:tr w14:paraId="45C601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68F1D5DD">
            <w:pPr>
              <w:rPr>
                <w:rFonts w:ascii="Arial"/>
                <w:sz w:val="21"/>
              </w:rPr>
            </w:pPr>
          </w:p>
        </w:tc>
        <w:tc>
          <w:tcPr>
            <w:tcW w:w="2868" w:type="dxa"/>
            <w:vMerge w:val="continue"/>
            <w:tcBorders>
              <w:top w:val="nil"/>
              <w:bottom w:val="nil"/>
            </w:tcBorders>
            <w:vAlign w:val="top"/>
          </w:tcPr>
          <w:p w14:paraId="4016FAAD">
            <w:pPr>
              <w:rPr>
                <w:rFonts w:ascii="Arial"/>
                <w:sz w:val="21"/>
              </w:rPr>
            </w:pPr>
          </w:p>
        </w:tc>
        <w:tc>
          <w:tcPr>
            <w:tcW w:w="3299" w:type="dxa"/>
            <w:vMerge w:val="continue"/>
            <w:tcBorders>
              <w:top w:val="nil"/>
              <w:bottom w:val="nil"/>
            </w:tcBorders>
            <w:vAlign w:val="top"/>
          </w:tcPr>
          <w:p w14:paraId="46AA1DDB">
            <w:pPr>
              <w:rPr>
                <w:rFonts w:ascii="Arial"/>
                <w:sz w:val="21"/>
              </w:rPr>
            </w:pPr>
          </w:p>
        </w:tc>
        <w:tc>
          <w:tcPr>
            <w:tcW w:w="4592" w:type="dxa"/>
            <w:vAlign w:val="top"/>
          </w:tcPr>
          <w:p w14:paraId="1E212C27">
            <w:pPr>
              <w:pStyle w:val="6"/>
              <w:spacing w:before="218" w:line="310" w:lineRule="auto"/>
              <w:ind w:left="109" w:right="124" w:firstLine="18"/>
              <w:jc w:val="both"/>
            </w:pPr>
            <w:r>
              <w:rPr>
                <w:spacing w:val="9"/>
              </w:rPr>
              <w:t>3、制作笔录，告知当事人采取强制措施的理由、</w:t>
            </w:r>
            <w:r>
              <w:rPr>
                <w:spacing w:val="7"/>
              </w:rPr>
              <w:t>依据及当事人依法享有的权利，并当场交付查封、</w:t>
            </w:r>
            <w:r>
              <w:rPr>
                <w:spacing w:val="9"/>
              </w:rPr>
              <w:t>扣押决定书和清单、实施查封、扣押。</w:t>
            </w:r>
          </w:p>
        </w:tc>
        <w:tc>
          <w:tcPr>
            <w:tcW w:w="3769" w:type="dxa"/>
            <w:vMerge w:val="continue"/>
            <w:tcBorders>
              <w:top w:val="nil"/>
              <w:bottom w:val="nil"/>
            </w:tcBorders>
            <w:vAlign w:val="top"/>
          </w:tcPr>
          <w:p w14:paraId="1AAFE17D">
            <w:pPr>
              <w:rPr>
                <w:rFonts w:ascii="Arial"/>
                <w:sz w:val="21"/>
              </w:rPr>
            </w:pPr>
          </w:p>
        </w:tc>
      </w:tr>
      <w:tr w14:paraId="2E566B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7" w:hRule="atLeast"/>
        </w:trPr>
        <w:tc>
          <w:tcPr>
            <w:tcW w:w="724" w:type="dxa"/>
            <w:vMerge w:val="continue"/>
            <w:tcBorders>
              <w:top w:val="nil"/>
              <w:bottom w:val="nil"/>
            </w:tcBorders>
            <w:textDirection w:val="tbRlV"/>
            <w:vAlign w:val="top"/>
          </w:tcPr>
          <w:p w14:paraId="49538C7F">
            <w:pPr>
              <w:rPr>
                <w:rFonts w:ascii="Arial"/>
                <w:sz w:val="21"/>
              </w:rPr>
            </w:pPr>
          </w:p>
        </w:tc>
        <w:tc>
          <w:tcPr>
            <w:tcW w:w="2868" w:type="dxa"/>
            <w:vMerge w:val="continue"/>
            <w:tcBorders>
              <w:top w:val="nil"/>
              <w:bottom w:val="nil"/>
            </w:tcBorders>
            <w:vAlign w:val="top"/>
          </w:tcPr>
          <w:p w14:paraId="63708CF8">
            <w:pPr>
              <w:rPr>
                <w:rFonts w:ascii="Arial"/>
                <w:sz w:val="21"/>
              </w:rPr>
            </w:pPr>
          </w:p>
        </w:tc>
        <w:tc>
          <w:tcPr>
            <w:tcW w:w="3299" w:type="dxa"/>
            <w:vMerge w:val="continue"/>
            <w:tcBorders>
              <w:top w:val="nil"/>
              <w:bottom w:val="nil"/>
            </w:tcBorders>
            <w:vAlign w:val="top"/>
          </w:tcPr>
          <w:p w14:paraId="600AC275">
            <w:pPr>
              <w:rPr>
                <w:rFonts w:ascii="Arial"/>
                <w:sz w:val="21"/>
              </w:rPr>
            </w:pPr>
          </w:p>
        </w:tc>
        <w:tc>
          <w:tcPr>
            <w:tcW w:w="4592" w:type="dxa"/>
            <w:vAlign w:val="top"/>
          </w:tcPr>
          <w:p w14:paraId="773807C2">
            <w:pPr>
              <w:pStyle w:val="6"/>
              <w:spacing w:before="67" w:line="309" w:lineRule="auto"/>
              <w:ind w:left="119" w:right="102"/>
            </w:pPr>
            <w:r>
              <w:rPr>
                <w:spacing w:val="9"/>
              </w:rPr>
              <w:t>4、行政机关采取查封、扣押措施后，应当及时查</w:t>
            </w:r>
            <w:r>
              <w:rPr>
                <w:spacing w:val="8"/>
              </w:rPr>
              <w:t>清事实，在《中华人民共和国行政强制法》第二十</w:t>
            </w:r>
            <w:r>
              <w:rPr>
                <w:spacing w:val="9"/>
              </w:rPr>
              <w:t>五条规定的期限内作出处理决定。对违法事实清</w:t>
            </w:r>
          </w:p>
          <w:p w14:paraId="5F404ABA">
            <w:pPr>
              <w:pStyle w:val="6"/>
              <w:spacing w:before="2" w:line="309" w:lineRule="auto"/>
              <w:ind w:left="115" w:right="45"/>
            </w:pPr>
            <w:r>
              <w:rPr>
                <w:spacing w:val="8"/>
              </w:rPr>
              <w:t>楚，依法应当没收的非法财物予以没收；法律、行</w:t>
            </w:r>
            <w:r>
              <w:rPr>
                <w:spacing w:val="2"/>
              </w:rPr>
              <w:t>政法规规定应当销毁的，依法销毁；应当解除查封、</w:t>
            </w:r>
            <w:r>
              <w:rPr>
                <w:spacing w:val="8"/>
              </w:rPr>
              <w:t>扣押的，作出解除查封、扣押的决定。</w:t>
            </w:r>
          </w:p>
        </w:tc>
        <w:tc>
          <w:tcPr>
            <w:tcW w:w="3769" w:type="dxa"/>
            <w:vMerge w:val="continue"/>
            <w:tcBorders>
              <w:top w:val="nil"/>
              <w:bottom w:val="nil"/>
            </w:tcBorders>
            <w:vAlign w:val="top"/>
          </w:tcPr>
          <w:p w14:paraId="4CA67DC5">
            <w:pPr>
              <w:rPr>
                <w:rFonts w:ascii="Arial"/>
                <w:sz w:val="21"/>
              </w:rPr>
            </w:pPr>
          </w:p>
        </w:tc>
      </w:tr>
      <w:tr w14:paraId="2409B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360D8DA4">
            <w:pPr>
              <w:rPr>
                <w:rFonts w:ascii="Arial"/>
                <w:sz w:val="21"/>
              </w:rPr>
            </w:pPr>
          </w:p>
        </w:tc>
        <w:tc>
          <w:tcPr>
            <w:tcW w:w="2868" w:type="dxa"/>
            <w:vMerge w:val="continue"/>
            <w:tcBorders>
              <w:top w:val="nil"/>
            </w:tcBorders>
            <w:vAlign w:val="top"/>
          </w:tcPr>
          <w:p w14:paraId="37FF5AE0">
            <w:pPr>
              <w:rPr>
                <w:rFonts w:ascii="Arial"/>
                <w:sz w:val="21"/>
              </w:rPr>
            </w:pPr>
          </w:p>
        </w:tc>
        <w:tc>
          <w:tcPr>
            <w:tcW w:w="3299" w:type="dxa"/>
            <w:vMerge w:val="continue"/>
            <w:tcBorders>
              <w:top w:val="nil"/>
            </w:tcBorders>
            <w:vAlign w:val="top"/>
          </w:tcPr>
          <w:p w14:paraId="0D303EF5">
            <w:pPr>
              <w:rPr>
                <w:rFonts w:ascii="Arial"/>
                <w:sz w:val="21"/>
              </w:rPr>
            </w:pPr>
          </w:p>
        </w:tc>
        <w:tc>
          <w:tcPr>
            <w:tcW w:w="4592" w:type="dxa"/>
            <w:vAlign w:val="top"/>
          </w:tcPr>
          <w:p w14:paraId="1D82C0F7">
            <w:pPr>
              <w:pStyle w:val="6"/>
              <w:spacing w:before="90" w:line="224" w:lineRule="auto"/>
              <w:ind w:left="122"/>
            </w:pPr>
            <w:r>
              <w:rPr>
                <w:spacing w:val="8"/>
              </w:rPr>
              <w:t>5、其他法律法规规章规定应履行的责任。</w:t>
            </w:r>
          </w:p>
        </w:tc>
        <w:tc>
          <w:tcPr>
            <w:tcW w:w="3769" w:type="dxa"/>
            <w:vMerge w:val="continue"/>
            <w:tcBorders>
              <w:top w:val="nil"/>
            </w:tcBorders>
            <w:vAlign w:val="top"/>
          </w:tcPr>
          <w:p w14:paraId="362CE6DF">
            <w:pPr>
              <w:rPr>
                <w:rFonts w:ascii="Arial"/>
                <w:sz w:val="21"/>
              </w:rPr>
            </w:pPr>
          </w:p>
        </w:tc>
      </w:tr>
      <w:tr w14:paraId="12DA1F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2F6F558">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5713655">
      <w:pPr>
        <w:pStyle w:val="2"/>
      </w:pPr>
    </w:p>
    <w:p w14:paraId="7E575F44">
      <w:pPr>
        <w:sectPr>
          <w:footerReference r:id="rId26" w:type="default"/>
          <w:pgSz w:w="16839" w:h="11906"/>
          <w:pgMar w:top="1012" w:right="685" w:bottom="1213" w:left="895" w:header="0" w:footer="936" w:gutter="0"/>
          <w:cols w:space="720" w:num="1"/>
        </w:sectPr>
      </w:pPr>
    </w:p>
    <w:p w14:paraId="2664FE29">
      <w:pPr>
        <w:spacing w:before="45"/>
      </w:pPr>
    </w:p>
    <w:p w14:paraId="6E22042F">
      <w:pPr>
        <w:spacing w:before="44"/>
      </w:pPr>
    </w:p>
    <w:p w14:paraId="3FCD6E3B">
      <w:pPr>
        <w:spacing w:before="44"/>
      </w:pPr>
    </w:p>
    <w:p w14:paraId="6AB27A2A">
      <w:pPr>
        <w:spacing w:before="44"/>
      </w:pPr>
    </w:p>
    <w:p w14:paraId="1ADDD55F">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33C75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1356BD25">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038950EF">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093CCF35">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479C0CE1">
            <w:pPr>
              <w:spacing w:before="187"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0A23942E">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07FA89F9">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137BD1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724" w:type="dxa"/>
            <w:vMerge w:val="restart"/>
            <w:tcBorders>
              <w:bottom w:val="nil"/>
            </w:tcBorders>
            <w:textDirection w:val="tbRlV"/>
            <w:vAlign w:val="top"/>
          </w:tcPr>
          <w:p w14:paraId="2BFE6F44">
            <w:pPr>
              <w:pStyle w:val="6"/>
              <w:spacing w:before="255" w:line="213" w:lineRule="auto"/>
              <w:ind w:left="1878"/>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7A6D1D65">
            <w:pPr>
              <w:spacing w:line="316" w:lineRule="auto"/>
              <w:rPr>
                <w:rFonts w:ascii="Arial"/>
                <w:sz w:val="21"/>
              </w:rPr>
            </w:pPr>
          </w:p>
          <w:p w14:paraId="6C1578FF">
            <w:pPr>
              <w:pStyle w:val="6"/>
              <w:spacing w:before="62" w:line="310" w:lineRule="auto"/>
              <w:ind w:left="116" w:right="153" w:firstLine="2"/>
            </w:pPr>
            <w:r>
              <w:rPr>
                <w:spacing w:val="4"/>
              </w:rPr>
              <w:t>23.不符合</w:t>
            </w:r>
            <w:r>
              <w:rPr>
                <w:spacing w:val="7"/>
              </w:rPr>
              <w:t>安全技术规</w:t>
            </w:r>
          </w:p>
          <w:p w14:paraId="3934C67B">
            <w:pPr>
              <w:pStyle w:val="6"/>
              <w:spacing w:line="225" w:lineRule="auto"/>
              <w:ind w:left="127"/>
            </w:pPr>
            <w:r>
              <w:rPr>
                <w:spacing w:val="4"/>
              </w:rPr>
              <w:t>范要求的或</w:t>
            </w:r>
          </w:p>
          <w:p w14:paraId="36CBDF76">
            <w:pPr>
              <w:pStyle w:val="6"/>
              <w:spacing w:before="86" w:line="225" w:lineRule="auto"/>
              <w:ind w:left="113"/>
            </w:pPr>
            <w:r>
              <w:rPr>
                <w:spacing w:val="7"/>
              </w:rPr>
              <w:t>者有其他严</w:t>
            </w:r>
          </w:p>
          <w:p w14:paraId="491341C6">
            <w:pPr>
              <w:pStyle w:val="6"/>
              <w:spacing w:before="87" w:line="310" w:lineRule="auto"/>
              <w:ind w:left="128" w:right="153" w:hanging="8"/>
            </w:pPr>
            <w:r>
              <w:rPr>
                <w:spacing w:val="6"/>
              </w:rPr>
              <w:t>重事故隐患</w:t>
            </w:r>
            <w:r>
              <w:rPr>
                <w:spacing w:val="3"/>
              </w:rPr>
              <w:t>的特种设</w:t>
            </w:r>
          </w:p>
          <w:p w14:paraId="51DAF6C8">
            <w:pPr>
              <w:pStyle w:val="6"/>
              <w:spacing w:line="227" w:lineRule="auto"/>
              <w:ind w:left="113"/>
            </w:pPr>
            <w:r>
              <w:rPr>
                <w:spacing w:val="7"/>
              </w:rPr>
              <w:t>备，对流入</w:t>
            </w:r>
          </w:p>
          <w:p w14:paraId="72ECA361">
            <w:pPr>
              <w:pStyle w:val="6"/>
              <w:spacing w:before="86" w:line="226" w:lineRule="auto"/>
              <w:ind w:left="120"/>
            </w:pPr>
            <w:r>
              <w:rPr>
                <w:spacing w:val="6"/>
              </w:rPr>
              <w:t>市场的达到</w:t>
            </w:r>
          </w:p>
          <w:p w14:paraId="6535B0C5">
            <w:pPr>
              <w:pStyle w:val="6"/>
              <w:spacing w:before="86" w:line="226" w:lineRule="auto"/>
              <w:ind w:left="117"/>
            </w:pPr>
            <w:r>
              <w:rPr>
                <w:spacing w:val="6"/>
              </w:rPr>
              <w:t>报废条件或</w:t>
            </w:r>
          </w:p>
          <w:p w14:paraId="164D9D01">
            <w:pPr>
              <w:pStyle w:val="6"/>
              <w:spacing w:before="87" w:line="226" w:lineRule="auto"/>
              <w:ind w:left="113"/>
            </w:pPr>
            <w:r>
              <w:rPr>
                <w:spacing w:val="7"/>
              </w:rPr>
              <w:t>者已经报废</w:t>
            </w:r>
          </w:p>
          <w:p w14:paraId="71A56D0C">
            <w:pPr>
              <w:pStyle w:val="6"/>
              <w:spacing w:before="87" w:line="224" w:lineRule="auto"/>
              <w:ind w:left="128"/>
            </w:pPr>
            <w:r>
              <w:rPr>
                <w:spacing w:val="4"/>
              </w:rPr>
              <w:t>的特种设备</w:t>
            </w:r>
          </w:p>
          <w:p w14:paraId="39DAAE1C">
            <w:pPr>
              <w:pStyle w:val="6"/>
              <w:spacing w:before="87" w:line="309" w:lineRule="auto"/>
              <w:ind w:left="113" w:right="153" w:firstLine="8"/>
            </w:pPr>
            <w:r>
              <w:rPr>
                <w:spacing w:val="6"/>
              </w:rPr>
              <w:t>实施查封或者扣押</w:t>
            </w:r>
          </w:p>
        </w:tc>
        <w:tc>
          <w:tcPr>
            <w:tcW w:w="3307" w:type="dxa"/>
            <w:vMerge w:val="restart"/>
            <w:tcBorders>
              <w:bottom w:val="nil"/>
            </w:tcBorders>
            <w:vAlign w:val="top"/>
          </w:tcPr>
          <w:p w14:paraId="6F12E842">
            <w:pPr>
              <w:spacing w:line="316" w:lineRule="auto"/>
              <w:rPr>
                <w:rFonts w:ascii="Arial"/>
                <w:sz w:val="21"/>
              </w:rPr>
            </w:pPr>
          </w:p>
          <w:p w14:paraId="342EFBAA">
            <w:pPr>
              <w:spacing w:line="317" w:lineRule="auto"/>
              <w:rPr>
                <w:rFonts w:ascii="Arial"/>
                <w:sz w:val="21"/>
              </w:rPr>
            </w:pPr>
          </w:p>
          <w:p w14:paraId="27B6897A">
            <w:pPr>
              <w:spacing w:line="317" w:lineRule="auto"/>
              <w:rPr>
                <w:rFonts w:ascii="Arial"/>
                <w:sz w:val="21"/>
              </w:rPr>
            </w:pPr>
          </w:p>
          <w:p w14:paraId="0BB0817E">
            <w:pPr>
              <w:pStyle w:val="6"/>
              <w:spacing w:before="62" w:line="224" w:lineRule="auto"/>
              <w:ind w:left="108"/>
            </w:pPr>
            <w:r>
              <w:rPr>
                <w:spacing w:val="9"/>
              </w:rPr>
              <w:t>《中华人民共和国特种设备安全</w:t>
            </w:r>
          </w:p>
          <w:p w14:paraId="55939286">
            <w:pPr>
              <w:pStyle w:val="6"/>
              <w:spacing w:before="88" w:line="224" w:lineRule="auto"/>
              <w:ind w:left="118"/>
            </w:pPr>
            <w:r>
              <w:rPr>
                <w:spacing w:val="5"/>
              </w:rPr>
              <w:t>法》第六十一条：</w:t>
            </w:r>
            <w:r>
              <w:rPr>
                <w:spacing w:val="-36"/>
              </w:rPr>
              <w:t xml:space="preserve"> </w:t>
            </w:r>
            <w:r>
              <w:rPr>
                <w:spacing w:val="5"/>
              </w:rPr>
              <w:t>“负责特种设备</w:t>
            </w:r>
          </w:p>
          <w:p w14:paraId="63F1F5F6">
            <w:pPr>
              <w:pStyle w:val="6"/>
              <w:spacing w:before="88" w:line="223" w:lineRule="auto"/>
              <w:ind w:left="116"/>
            </w:pPr>
            <w:r>
              <w:rPr>
                <w:spacing w:val="9"/>
              </w:rPr>
              <w:t>安全监督管理的部门在依法履行监</w:t>
            </w:r>
          </w:p>
          <w:p w14:paraId="1B01FACA">
            <w:pPr>
              <w:pStyle w:val="6"/>
              <w:spacing w:before="89" w:line="310" w:lineRule="auto"/>
              <w:ind w:left="152" w:right="63" w:hanging="41"/>
            </w:pPr>
            <w:r>
              <w:rPr>
                <w:spacing w:val="5"/>
              </w:rPr>
              <w:t xml:space="preserve">督检查职责时，可以行使下列职权： </w:t>
            </w:r>
            <w:r>
              <w:rPr>
                <w:spacing w:val="6"/>
              </w:rPr>
              <w:t>(三)对有证据表明不符合安全技术</w:t>
            </w:r>
          </w:p>
          <w:p w14:paraId="42AA44FC">
            <w:pPr>
              <w:pStyle w:val="6"/>
              <w:spacing w:before="1" w:line="222" w:lineRule="auto"/>
              <w:ind w:left="117"/>
            </w:pPr>
            <w:r>
              <w:rPr>
                <w:spacing w:val="9"/>
              </w:rPr>
              <w:t>规范要求或者存在严重事故隐患的</w:t>
            </w:r>
          </w:p>
          <w:p w14:paraId="502C6D23">
            <w:pPr>
              <w:pStyle w:val="6"/>
              <w:spacing w:before="90" w:line="310" w:lineRule="auto"/>
              <w:ind w:left="112" w:right="107" w:firstLine="1"/>
            </w:pPr>
            <w:r>
              <w:rPr>
                <w:spacing w:val="4"/>
              </w:rPr>
              <w:t>特种设备实施查封、扣押，</w:t>
            </w:r>
            <w:r>
              <w:rPr>
                <w:spacing w:val="70"/>
              </w:rPr>
              <w:t xml:space="preserve"> </w:t>
            </w:r>
            <w:r>
              <w:rPr>
                <w:spacing w:val="4"/>
              </w:rPr>
              <w:t>(四)对</w:t>
            </w:r>
            <w:r>
              <w:rPr>
                <w:spacing w:val="9"/>
              </w:rPr>
              <w:t>流入市场的达到报废条件或者已经</w:t>
            </w:r>
          </w:p>
          <w:p w14:paraId="6BD8F329">
            <w:pPr>
              <w:pStyle w:val="6"/>
              <w:spacing w:before="1" w:line="224" w:lineRule="auto"/>
              <w:jc w:val="right"/>
            </w:pPr>
            <w:r>
              <w:rPr>
                <w:spacing w:val="7"/>
              </w:rPr>
              <w:t>报废的特种设备实施查封、扣押。</w:t>
            </w:r>
            <w:r>
              <w:rPr>
                <w:spacing w:val="-64"/>
              </w:rPr>
              <w:t xml:space="preserve"> </w:t>
            </w:r>
            <w:r>
              <w:rPr>
                <w:spacing w:val="7"/>
              </w:rPr>
              <w:t>”</w:t>
            </w:r>
          </w:p>
        </w:tc>
        <w:tc>
          <w:tcPr>
            <w:tcW w:w="6193" w:type="dxa"/>
            <w:vAlign w:val="top"/>
          </w:tcPr>
          <w:p w14:paraId="502971CA">
            <w:pPr>
              <w:pStyle w:val="6"/>
              <w:spacing w:before="252" w:line="224" w:lineRule="auto"/>
              <w:ind w:left="124"/>
            </w:pPr>
            <w:r>
              <w:rPr>
                <w:spacing w:val="8"/>
              </w:rPr>
              <w:t>1、核实违法事实，报行政机关负责人批准。</w:t>
            </w:r>
          </w:p>
        </w:tc>
        <w:tc>
          <w:tcPr>
            <w:tcW w:w="3768" w:type="dxa"/>
            <w:vMerge w:val="restart"/>
            <w:tcBorders>
              <w:bottom w:val="nil"/>
            </w:tcBorders>
            <w:vAlign w:val="top"/>
          </w:tcPr>
          <w:p w14:paraId="4EC073FE">
            <w:pPr>
              <w:spacing w:line="242" w:lineRule="auto"/>
              <w:rPr>
                <w:rFonts w:ascii="Arial"/>
                <w:sz w:val="21"/>
              </w:rPr>
            </w:pPr>
          </w:p>
          <w:p w14:paraId="41B8F359">
            <w:pPr>
              <w:spacing w:line="242" w:lineRule="auto"/>
              <w:rPr>
                <w:rFonts w:ascii="Arial"/>
                <w:sz w:val="21"/>
              </w:rPr>
            </w:pPr>
          </w:p>
          <w:p w14:paraId="7193F286">
            <w:pPr>
              <w:spacing w:line="242" w:lineRule="auto"/>
              <w:rPr>
                <w:rFonts w:ascii="Arial"/>
                <w:sz w:val="21"/>
              </w:rPr>
            </w:pPr>
          </w:p>
          <w:p w14:paraId="3A1E69DF">
            <w:pPr>
              <w:spacing w:line="242" w:lineRule="auto"/>
              <w:rPr>
                <w:rFonts w:ascii="Arial"/>
                <w:sz w:val="21"/>
              </w:rPr>
            </w:pPr>
          </w:p>
          <w:p w14:paraId="28577487">
            <w:pPr>
              <w:spacing w:line="243" w:lineRule="auto"/>
              <w:rPr>
                <w:rFonts w:ascii="Arial"/>
                <w:sz w:val="21"/>
              </w:rPr>
            </w:pPr>
          </w:p>
          <w:p w14:paraId="434BE43B">
            <w:pPr>
              <w:spacing w:line="243" w:lineRule="auto"/>
              <w:rPr>
                <w:rFonts w:ascii="Arial"/>
                <w:sz w:val="21"/>
              </w:rPr>
            </w:pPr>
          </w:p>
          <w:p w14:paraId="2E3488BF">
            <w:pPr>
              <w:spacing w:line="243" w:lineRule="auto"/>
              <w:rPr>
                <w:rFonts w:ascii="Arial"/>
                <w:sz w:val="21"/>
              </w:rPr>
            </w:pPr>
          </w:p>
          <w:p w14:paraId="71BBB079">
            <w:pPr>
              <w:spacing w:line="243" w:lineRule="auto"/>
              <w:rPr>
                <w:rFonts w:ascii="Arial"/>
                <w:sz w:val="21"/>
              </w:rPr>
            </w:pPr>
          </w:p>
          <w:p w14:paraId="5FB26BC8">
            <w:pPr>
              <w:pStyle w:val="6"/>
              <w:spacing w:before="66"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52361E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24" w:type="dxa"/>
            <w:vMerge w:val="continue"/>
            <w:tcBorders>
              <w:top w:val="nil"/>
              <w:bottom w:val="nil"/>
            </w:tcBorders>
            <w:textDirection w:val="tbRlV"/>
            <w:vAlign w:val="top"/>
          </w:tcPr>
          <w:p w14:paraId="044D7486">
            <w:pPr>
              <w:rPr>
                <w:rFonts w:ascii="Arial"/>
                <w:sz w:val="21"/>
              </w:rPr>
            </w:pPr>
          </w:p>
        </w:tc>
        <w:tc>
          <w:tcPr>
            <w:tcW w:w="1260" w:type="dxa"/>
            <w:vMerge w:val="continue"/>
            <w:tcBorders>
              <w:top w:val="nil"/>
              <w:bottom w:val="nil"/>
            </w:tcBorders>
            <w:vAlign w:val="top"/>
          </w:tcPr>
          <w:p w14:paraId="2DDE736F">
            <w:pPr>
              <w:rPr>
                <w:rFonts w:ascii="Arial"/>
                <w:sz w:val="21"/>
              </w:rPr>
            </w:pPr>
          </w:p>
        </w:tc>
        <w:tc>
          <w:tcPr>
            <w:tcW w:w="3307" w:type="dxa"/>
            <w:vMerge w:val="continue"/>
            <w:tcBorders>
              <w:top w:val="nil"/>
              <w:bottom w:val="nil"/>
            </w:tcBorders>
            <w:vAlign w:val="top"/>
          </w:tcPr>
          <w:p w14:paraId="1C70C674">
            <w:pPr>
              <w:rPr>
                <w:rFonts w:ascii="Arial"/>
                <w:sz w:val="21"/>
              </w:rPr>
            </w:pPr>
          </w:p>
        </w:tc>
        <w:tc>
          <w:tcPr>
            <w:tcW w:w="6193" w:type="dxa"/>
            <w:vAlign w:val="top"/>
          </w:tcPr>
          <w:p w14:paraId="2F96E833">
            <w:pPr>
              <w:pStyle w:val="6"/>
              <w:spacing w:before="294" w:line="224" w:lineRule="auto"/>
              <w:ind w:left="119"/>
            </w:pPr>
            <w:r>
              <w:rPr>
                <w:spacing w:val="7"/>
              </w:rPr>
              <w:t>2、依法作出处理决定。</w:t>
            </w:r>
          </w:p>
        </w:tc>
        <w:tc>
          <w:tcPr>
            <w:tcW w:w="3768" w:type="dxa"/>
            <w:vMerge w:val="continue"/>
            <w:tcBorders>
              <w:top w:val="nil"/>
              <w:bottom w:val="nil"/>
            </w:tcBorders>
            <w:vAlign w:val="top"/>
          </w:tcPr>
          <w:p w14:paraId="56C7BC96">
            <w:pPr>
              <w:rPr>
                <w:rFonts w:ascii="Arial"/>
                <w:sz w:val="21"/>
              </w:rPr>
            </w:pPr>
          </w:p>
        </w:tc>
      </w:tr>
      <w:tr w14:paraId="26992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571D0125">
            <w:pPr>
              <w:rPr>
                <w:rFonts w:ascii="Arial"/>
                <w:sz w:val="21"/>
              </w:rPr>
            </w:pPr>
          </w:p>
        </w:tc>
        <w:tc>
          <w:tcPr>
            <w:tcW w:w="1260" w:type="dxa"/>
            <w:vMerge w:val="continue"/>
            <w:tcBorders>
              <w:top w:val="nil"/>
              <w:bottom w:val="nil"/>
            </w:tcBorders>
            <w:vAlign w:val="top"/>
          </w:tcPr>
          <w:p w14:paraId="37A19D90">
            <w:pPr>
              <w:rPr>
                <w:rFonts w:ascii="Arial"/>
                <w:sz w:val="21"/>
              </w:rPr>
            </w:pPr>
          </w:p>
        </w:tc>
        <w:tc>
          <w:tcPr>
            <w:tcW w:w="3307" w:type="dxa"/>
            <w:vMerge w:val="continue"/>
            <w:tcBorders>
              <w:top w:val="nil"/>
              <w:bottom w:val="nil"/>
            </w:tcBorders>
            <w:vAlign w:val="top"/>
          </w:tcPr>
          <w:p w14:paraId="72A91F03">
            <w:pPr>
              <w:rPr>
                <w:rFonts w:ascii="Arial"/>
                <w:sz w:val="21"/>
              </w:rPr>
            </w:pPr>
          </w:p>
        </w:tc>
        <w:tc>
          <w:tcPr>
            <w:tcW w:w="6193" w:type="dxa"/>
            <w:vAlign w:val="top"/>
          </w:tcPr>
          <w:p w14:paraId="5DDFC69D">
            <w:pPr>
              <w:spacing w:line="312" w:lineRule="auto"/>
              <w:rPr>
                <w:rFonts w:ascii="Arial"/>
                <w:sz w:val="21"/>
              </w:rPr>
            </w:pPr>
          </w:p>
          <w:p w14:paraId="1E6DC71C">
            <w:pPr>
              <w:pStyle w:val="6"/>
              <w:spacing w:before="62"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6FD5C154">
            <w:pPr>
              <w:rPr>
                <w:rFonts w:ascii="Arial"/>
                <w:sz w:val="21"/>
              </w:rPr>
            </w:pPr>
          </w:p>
        </w:tc>
      </w:tr>
      <w:tr w14:paraId="10767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28AAD334">
            <w:pPr>
              <w:rPr>
                <w:rFonts w:ascii="Arial"/>
                <w:sz w:val="21"/>
              </w:rPr>
            </w:pPr>
          </w:p>
        </w:tc>
        <w:tc>
          <w:tcPr>
            <w:tcW w:w="1260" w:type="dxa"/>
            <w:vMerge w:val="continue"/>
            <w:tcBorders>
              <w:top w:val="nil"/>
              <w:bottom w:val="nil"/>
            </w:tcBorders>
            <w:vAlign w:val="top"/>
          </w:tcPr>
          <w:p w14:paraId="3B512EA6">
            <w:pPr>
              <w:rPr>
                <w:rFonts w:ascii="Arial"/>
                <w:sz w:val="21"/>
              </w:rPr>
            </w:pPr>
          </w:p>
        </w:tc>
        <w:tc>
          <w:tcPr>
            <w:tcW w:w="3307" w:type="dxa"/>
            <w:vMerge w:val="continue"/>
            <w:tcBorders>
              <w:top w:val="nil"/>
              <w:bottom w:val="nil"/>
            </w:tcBorders>
            <w:vAlign w:val="top"/>
          </w:tcPr>
          <w:p w14:paraId="36A056C3">
            <w:pPr>
              <w:rPr>
                <w:rFonts w:ascii="Arial"/>
                <w:sz w:val="21"/>
              </w:rPr>
            </w:pPr>
          </w:p>
        </w:tc>
        <w:tc>
          <w:tcPr>
            <w:tcW w:w="6193" w:type="dxa"/>
            <w:vAlign w:val="top"/>
          </w:tcPr>
          <w:p w14:paraId="4A547AB6">
            <w:pPr>
              <w:pStyle w:val="6"/>
              <w:spacing w:before="67"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75465389">
            <w:pPr>
              <w:rPr>
                <w:rFonts w:ascii="Arial"/>
                <w:sz w:val="21"/>
              </w:rPr>
            </w:pPr>
          </w:p>
        </w:tc>
      </w:tr>
      <w:tr w14:paraId="2C5141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3E1E41B4">
            <w:pPr>
              <w:rPr>
                <w:rFonts w:ascii="Arial"/>
                <w:sz w:val="21"/>
              </w:rPr>
            </w:pPr>
          </w:p>
        </w:tc>
        <w:tc>
          <w:tcPr>
            <w:tcW w:w="1260" w:type="dxa"/>
            <w:vMerge w:val="continue"/>
            <w:tcBorders>
              <w:top w:val="nil"/>
            </w:tcBorders>
            <w:vAlign w:val="top"/>
          </w:tcPr>
          <w:p w14:paraId="6846D158">
            <w:pPr>
              <w:rPr>
                <w:rFonts w:ascii="Arial"/>
                <w:sz w:val="21"/>
              </w:rPr>
            </w:pPr>
          </w:p>
        </w:tc>
        <w:tc>
          <w:tcPr>
            <w:tcW w:w="3307" w:type="dxa"/>
            <w:vMerge w:val="continue"/>
            <w:tcBorders>
              <w:top w:val="nil"/>
            </w:tcBorders>
            <w:vAlign w:val="top"/>
          </w:tcPr>
          <w:p w14:paraId="7C8DD256">
            <w:pPr>
              <w:rPr>
                <w:rFonts w:ascii="Arial"/>
                <w:sz w:val="21"/>
              </w:rPr>
            </w:pPr>
          </w:p>
        </w:tc>
        <w:tc>
          <w:tcPr>
            <w:tcW w:w="6193" w:type="dxa"/>
            <w:vAlign w:val="top"/>
          </w:tcPr>
          <w:p w14:paraId="644D213C">
            <w:pPr>
              <w:pStyle w:val="6"/>
              <w:spacing w:before="91" w:line="224" w:lineRule="auto"/>
              <w:ind w:left="121"/>
            </w:pPr>
            <w:r>
              <w:rPr>
                <w:spacing w:val="8"/>
              </w:rPr>
              <w:t>5、其他法律法规规章规定应履行的责任。</w:t>
            </w:r>
          </w:p>
        </w:tc>
        <w:tc>
          <w:tcPr>
            <w:tcW w:w="3768" w:type="dxa"/>
            <w:vMerge w:val="continue"/>
            <w:tcBorders>
              <w:top w:val="nil"/>
            </w:tcBorders>
            <w:vAlign w:val="top"/>
          </w:tcPr>
          <w:p w14:paraId="3DAB008C">
            <w:pPr>
              <w:rPr>
                <w:rFonts w:ascii="Arial"/>
                <w:sz w:val="21"/>
              </w:rPr>
            </w:pPr>
          </w:p>
        </w:tc>
      </w:tr>
      <w:tr w14:paraId="3B8DDA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56AF06D7">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36AA173D">
      <w:pPr>
        <w:pStyle w:val="2"/>
      </w:pPr>
    </w:p>
    <w:p w14:paraId="25C9A232">
      <w:pPr>
        <w:sectPr>
          <w:footerReference r:id="rId27" w:type="default"/>
          <w:pgSz w:w="16839" w:h="11906"/>
          <w:pgMar w:top="1012" w:right="685" w:bottom="1213" w:left="895" w:header="0" w:footer="938" w:gutter="0"/>
          <w:cols w:space="720" w:num="1"/>
        </w:sectPr>
      </w:pPr>
    </w:p>
    <w:p w14:paraId="6F447356">
      <w:pPr>
        <w:spacing w:before="36"/>
      </w:pPr>
    </w:p>
    <w:p w14:paraId="2BAF1B6D">
      <w:pPr>
        <w:spacing w:before="36"/>
      </w:pPr>
    </w:p>
    <w:p w14:paraId="51D68544">
      <w:pPr>
        <w:spacing w:before="36"/>
      </w:pPr>
    </w:p>
    <w:p w14:paraId="104ECB09">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478162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74CB763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1D3A2253">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44AE2D3D">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38B9747F">
            <w:pPr>
              <w:spacing w:before="190"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499E54F2">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7C21D56B">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0B14E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724" w:type="dxa"/>
            <w:vMerge w:val="restart"/>
            <w:tcBorders>
              <w:bottom w:val="nil"/>
            </w:tcBorders>
            <w:textDirection w:val="tbRlV"/>
            <w:vAlign w:val="top"/>
          </w:tcPr>
          <w:p w14:paraId="52549DCB">
            <w:pPr>
              <w:pStyle w:val="6"/>
              <w:spacing w:before="255" w:line="213" w:lineRule="auto"/>
              <w:ind w:left="2041"/>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176A00BC">
            <w:pPr>
              <w:rPr>
                <w:rFonts w:ascii="Arial"/>
                <w:sz w:val="21"/>
              </w:rPr>
            </w:pPr>
          </w:p>
          <w:p w14:paraId="40D1E2AF">
            <w:pPr>
              <w:rPr>
                <w:rFonts w:ascii="Arial"/>
                <w:sz w:val="21"/>
              </w:rPr>
            </w:pPr>
          </w:p>
          <w:p w14:paraId="22933B0F">
            <w:pPr>
              <w:pStyle w:val="6"/>
              <w:spacing w:before="62" w:line="310" w:lineRule="auto"/>
              <w:ind w:left="113" w:right="153" w:firstLine="5"/>
            </w:pPr>
            <w:r>
              <w:rPr>
                <w:spacing w:val="4"/>
              </w:rPr>
              <w:t>24.对有证</w:t>
            </w:r>
            <w:r>
              <w:rPr>
                <w:spacing w:val="7"/>
              </w:rPr>
              <w:t>据表明属于</w:t>
            </w:r>
          </w:p>
          <w:p w14:paraId="38DFBA7A">
            <w:pPr>
              <w:pStyle w:val="6"/>
              <w:spacing w:line="225" w:lineRule="auto"/>
              <w:ind w:left="113"/>
            </w:pPr>
            <w:r>
              <w:rPr>
                <w:spacing w:val="7"/>
              </w:rPr>
              <w:t>违反《中华</w:t>
            </w:r>
          </w:p>
          <w:p w14:paraId="17148D17">
            <w:pPr>
              <w:pStyle w:val="6"/>
              <w:spacing w:before="87" w:line="227" w:lineRule="auto"/>
              <w:ind w:left="113"/>
            </w:pPr>
            <w:r>
              <w:rPr>
                <w:spacing w:val="7"/>
              </w:rPr>
              <w:t>人民共和国</w:t>
            </w:r>
          </w:p>
          <w:p w14:paraId="3F86163A">
            <w:pPr>
              <w:pStyle w:val="6"/>
              <w:spacing w:before="86" w:line="227" w:lineRule="auto"/>
              <w:ind w:left="116"/>
            </w:pPr>
            <w:r>
              <w:rPr>
                <w:spacing w:val="7"/>
              </w:rPr>
              <w:t>工业产品生</w:t>
            </w:r>
          </w:p>
          <w:p w14:paraId="314DC13B">
            <w:pPr>
              <w:pStyle w:val="6"/>
              <w:spacing w:before="85" w:line="226" w:lineRule="auto"/>
              <w:ind w:left="111"/>
            </w:pPr>
            <w:r>
              <w:rPr>
                <w:spacing w:val="8"/>
              </w:rPr>
              <w:t>产许可证管</w:t>
            </w:r>
          </w:p>
          <w:p w14:paraId="4B5A0DF8">
            <w:pPr>
              <w:pStyle w:val="6"/>
              <w:spacing w:before="86" w:line="227" w:lineRule="auto"/>
              <w:ind w:left="113"/>
            </w:pPr>
            <w:r>
              <w:rPr>
                <w:spacing w:val="9"/>
              </w:rPr>
              <w:t>理条例》生</w:t>
            </w:r>
          </w:p>
          <w:p w14:paraId="13C7209B">
            <w:pPr>
              <w:pStyle w:val="6"/>
              <w:spacing w:before="86" w:line="224" w:lineRule="auto"/>
              <w:ind w:left="111"/>
            </w:pPr>
            <w:r>
              <w:rPr>
                <w:spacing w:val="8"/>
              </w:rPr>
              <w:t>产、销售或</w:t>
            </w:r>
          </w:p>
          <w:p w14:paraId="6AEF6EAE">
            <w:pPr>
              <w:pStyle w:val="6"/>
              <w:spacing w:before="88" w:line="223" w:lineRule="auto"/>
              <w:ind w:left="113"/>
            </w:pPr>
            <w:r>
              <w:rPr>
                <w:spacing w:val="7"/>
              </w:rPr>
              <w:t>者在经营活</w:t>
            </w:r>
          </w:p>
          <w:p w14:paraId="63E54927">
            <w:pPr>
              <w:pStyle w:val="6"/>
              <w:spacing w:before="89" w:line="226" w:lineRule="auto"/>
              <w:ind w:left="122"/>
            </w:pPr>
            <w:r>
              <w:rPr>
                <w:spacing w:val="5"/>
              </w:rPr>
              <w:t>动中使用的</w:t>
            </w:r>
          </w:p>
          <w:p w14:paraId="3D1F8465">
            <w:pPr>
              <w:pStyle w:val="6"/>
              <w:spacing w:before="85" w:line="310" w:lineRule="auto"/>
              <w:ind w:left="135" w:right="153" w:hanging="15"/>
            </w:pPr>
            <w:r>
              <w:rPr>
                <w:spacing w:val="6"/>
              </w:rPr>
              <w:t>列入目录产</w:t>
            </w:r>
            <w:r>
              <w:rPr>
                <w:spacing w:val="1"/>
              </w:rPr>
              <w:t>品进行查</w:t>
            </w:r>
          </w:p>
          <w:p w14:paraId="6DB260F1">
            <w:pPr>
              <w:pStyle w:val="6"/>
              <w:spacing w:before="1" w:line="225" w:lineRule="auto"/>
              <w:ind w:left="117"/>
            </w:pPr>
            <w:r>
              <w:rPr>
                <w:spacing w:val="6"/>
              </w:rPr>
              <w:t>封、扣押</w:t>
            </w:r>
          </w:p>
        </w:tc>
        <w:tc>
          <w:tcPr>
            <w:tcW w:w="3307" w:type="dxa"/>
            <w:vMerge w:val="restart"/>
            <w:tcBorders>
              <w:bottom w:val="nil"/>
            </w:tcBorders>
            <w:vAlign w:val="top"/>
          </w:tcPr>
          <w:p w14:paraId="65B340E3">
            <w:pPr>
              <w:spacing w:line="318" w:lineRule="auto"/>
              <w:rPr>
                <w:rFonts w:ascii="Arial"/>
                <w:sz w:val="21"/>
              </w:rPr>
            </w:pPr>
          </w:p>
          <w:p w14:paraId="33921871">
            <w:pPr>
              <w:spacing w:line="318" w:lineRule="auto"/>
              <w:rPr>
                <w:rFonts w:ascii="Arial"/>
                <w:sz w:val="21"/>
              </w:rPr>
            </w:pPr>
          </w:p>
          <w:p w14:paraId="5A85D5E2">
            <w:pPr>
              <w:spacing w:line="318" w:lineRule="auto"/>
              <w:rPr>
                <w:rFonts w:ascii="Arial"/>
                <w:sz w:val="21"/>
              </w:rPr>
            </w:pPr>
          </w:p>
          <w:p w14:paraId="22078C50">
            <w:pPr>
              <w:pStyle w:val="6"/>
              <w:spacing w:before="62" w:line="226" w:lineRule="auto"/>
              <w:ind w:left="108"/>
            </w:pPr>
            <w:r>
              <w:rPr>
                <w:spacing w:val="9"/>
              </w:rPr>
              <w:t>《工业产品生产许可证管理条例》</w:t>
            </w:r>
          </w:p>
          <w:p w14:paraId="702D3BA5">
            <w:pPr>
              <w:pStyle w:val="6"/>
              <w:spacing w:before="86" w:line="226" w:lineRule="auto"/>
              <w:ind w:left="153"/>
            </w:pPr>
            <w:r>
              <w:rPr>
                <w:spacing w:val="3"/>
              </w:rPr>
              <w:t>(国务院令第</w:t>
            </w:r>
            <w:r>
              <w:rPr>
                <w:spacing w:val="-30"/>
              </w:rPr>
              <w:t xml:space="preserve"> </w:t>
            </w:r>
            <w:r>
              <w:rPr>
                <w:spacing w:val="3"/>
              </w:rPr>
              <w:t>440</w:t>
            </w:r>
            <w:r>
              <w:rPr>
                <w:spacing w:val="-29"/>
              </w:rPr>
              <w:t xml:space="preserve"> </w:t>
            </w:r>
            <w:r>
              <w:rPr>
                <w:spacing w:val="3"/>
              </w:rPr>
              <w:t>号)第三十七条：</w:t>
            </w:r>
          </w:p>
          <w:p w14:paraId="0D838992">
            <w:pPr>
              <w:pStyle w:val="6"/>
              <w:spacing w:before="86" w:line="310" w:lineRule="auto"/>
              <w:ind w:left="111" w:right="198" w:firstLine="17"/>
            </w:pPr>
            <w:r>
              <w:rPr>
                <w:spacing w:val="8"/>
              </w:rPr>
              <w:t>“县级以上工业产品生产许可证主</w:t>
            </w:r>
            <w:r>
              <w:rPr>
                <w:spacing w:val="9"/>
              </w:rPr>
              <w:t>管部门根据已经取得的违法嫌疑证据或者举报，对涉嫌违反本条例的行为进行查处并可以行使下列职</w:t>
            </w:r>
          </w:p>
          <w:p w14:paraId="07ED9CD0">
            <w:pPr>
              <w:pStyle w:val="6"/>
              <w:spacing w:before="2" w:line="310" w:lineRule="auto"/>
              <w:ind w:left="109" w:right="107" w:firstLine="7"/>
            </w:pPr>
            <w:r>
              <w:rPr>
                <w:spacing w:val="4"/>
              </w:rPr>
              <w:t>权，</w:t>
            </w:r>
            <w:r>
              <w:rPr>
                <w:spacing w:val="68"/>
              </w:rPr>
              <w:t xml:space="preserve"> </w:t>
            </w:r>
            <w:r>
              <w:rPr>
                <w:spacing w:val="4"/>
              </w:rPr>
              <w:t>(三)对有证据表明属于违反本</w:t>
            </w:r>
            <w:r>
              <w:rPr>
                <w:spacing w:val="9"/>
              </w:rPr>
              <w:t>条例生产、销售或者在经营活动中使用的列入目录产品予以查封或者</w:t>
            </w:r>
            <w:r>
              <w:rPr>
                <w:spacing w:val="23"/>
              </w:rPr>
              <w:t>扣押。</w:t>
            </w:r>
            <w:r>
              <w:rPr>
                <w:spacing w:val="-60"/>
              </w:rPr>
              <w:t xml:space="preserve"> </w:t>
            </w:r>
            <w:r>
              <w:rPr>
                <w:spacing w:val="23"/>
              </w:rPr>
              <w:t>”</w:t>
            </w:r>
          </w:p>
        </w:tc>
        <w:tc>
          <w:tcPr>
            <w:tcW w:w="6193" w:type="dxa"/>
            <w:vAlign w:val="top"/>
          </w:tcPr>
          <w:p w14:paraId="7F69A2AD">
            <w:pPr>
              <w:spacing w:line="330" w:lineRule="auto"/>
              <w:rPr>
                <w:rFonts w:ascii="Arial"/>
                <w:sz w:val="21"/>
              </w:rPr>
            </w:pPr>
          </w:p>
          <w:p w14:paraId="18D0444B">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7ECEBA13">
            <w:pPr>
              <w:spacing w:line="262" w:lineRule="auto"/>
              <w:rPr>
                <w:rFonts w:ascii="Arial"/>
                <w:sz w:val="21"/>
              </w:rPr>
            </w:pPr>
          </w:p>
          <w:p w14:paraId="39C419BF">
            <w:pPr>
              <w:spacing w:line="262" w:lineRule="auto"/>
              <w:rPr>
                <w:rFonts w:ascii="Arial"/>
                <w:sz w:val="21"/>
              </w:rPr>
            </w:pPr>
          </w:p>
          <w:p w14:paraId="39F9FECD">
            <w:pPr>
              <w:spacing w:line="263" w:lineRule="auto"/>
              <w:rPr>
                <w:rFonts w:ascii="Arial"/>
                <w:sz w:val="21"/>
              </w:rPr>
            </w:pPr>
          </w:p>
          <w:p w14:paraId="5CCE27E4">
            <w:pPr>
              <w:spacing w:line="263" w:lineRule="auto"/>
              <w:rPr>
                <w:rFonts w:ascii="Arial"/>
                <w:sz w:val="21"/>
              </w:rPr>
            </w:pPr>
          </w:p>
          <w:p w14:paraId="79AD6455">
            <w:pPr>
              <w:spacing w:line="263" w:lineRule="auto"/>
              <w:rPr>
                <w:rFonts w:ascii="Arial"/>
                <w:sz w:val="21"/>
              </w:rPr>
            </w:pPr>
          </w:p>
          <w:p w14:paraId="586511E0">
            <w:pPr>
              <w:spacing w:line="263" w:lineRule="auto"/>
              <w:rPr>
                <w:rFonts w:ascii="Arial"/>
                <w:sz w:val="21"/>
              </w:rPr>
            </w:pPr>
          </w:p>
          <w:p w14:paraId="285CBCEA">
            <w:pPr>
              <w:spacing w:line="263" w:lineRule="auto"/>
              <w:rPr>
                <w:rFonts w:ascii="Arial"/>
                <w:sz w:val="21"/>
              </w:rPr>
            </w:pPr>
          </w:p>
          <w:p w14:paraId="7360809E">
            <w:pPr>
              <w:spacing w:line="263" w:lineRule="auto"/>
              <w:rPr>
                <w:rFonts w:ascii="Arial"/>
                <w:sz w:val="21"/>
              </w:rPr>
            </w:pPr>
          </w:p>
          <w:p w14:paraId="67DCB683">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1385A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724" w:type="dxa"/>
            <w:vMerge w:val="continue"/>
            <w:tcBorders>
              <w:top w:val="nil"/>
              <w:bottom w:val="nil"/>
            </w:tcBorders>
            <w:textDirection w:val="tbRlV"/>
            <w:vAlign w:val="top"/>
          </w:tcPr>
          <w:p w14:paraId="2EF0657B">
            <w:pPr>
              <w:rPr>
                <w:rFonts w:ascii="Arial"/>
                <w:sz w:val="21"/>
              </w:rPr>
            </w:pPr>
          </w:p>
        </w:tc>
        <w:tc>
          <w:tcPr>
            <w:tcW w:w="1260" w:type="dxa"/>
            <w:vMerge w:val="continue"/>
            <w:tcBorders>
              <w:top w:val="nil"/>
              <w:bottom w:val="nil"/>
            </w:tcBorders>
            <w:vAlign w:val="top"/>
          </w:tcPr>
          <w:p w14:paraId="1F3E47D0">
            <w:pPr>
              <w:rPr>
                <w:rFonts w:ascii="Arial"/>
                <w:sz w:val="21"/>
              </w:rPr>
            </w:pPr>
          </w:p>
        </w:tc>
        <w:tc>
          <w:tcPr>
            <w:tcW w:w="3307" w:type="dxa"/>
            <w:vMerge w:val="continue"/>
            <w:tcBorders>
              <w:top w:val="nil"/>
              <w:bottom w:val="nil"/>
            </w:tcBorders>
            <w:vAlign w:val="top"/>
          </w:tcPr>
          <w:p w14:paraId="6A44D297">
            <w:pPr>
              <w:rPr>
                <w:rFonts w:ascii="Arial"/>
                <w:sz w:val="21"/>
              </w:rPr>
            </w:pPr>
          </w:p>
        </w:tc>
        <w:tc>
          <w:tcPr>
            <w:tcW w:w="6193" w:type="dxa"/>
            <w:vAlign w:val="top"/>
          </w:tcPr>
          <w:p w14:paraId="20CC9267">
            <w:pPr>
              <w:spacing w:line="253" w:lineRule="auto"/>
              <w:rPr>
                <w:rFonts w:ascii="Arial"/>
                <w:sz w:val="21"/>
              </w:rPr>
            </w:pPr>
          </w:p>
          <w:p w14:paraId="4D2330A9">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2CDC0692">
            <w:pPr>
              <w:rPr>
                <w:rFonts w:ascii="Arial"/>
                <w:sz w:val="21"/>
              </w:rPr>
            </w:pPr>
          </w:p>
        </w:tc>
      </w:tr>
      <w:tr w14:paraId="2DDCC0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320489D4">
            <w:pPr>
              <w:rPr>
                <w:rFonts w:ascii="Arial"/>
                <w:sz w:val="21"/>
              </w:rPr>
            </w:pPr>
          </w:p>
        </w:tc>
        <w:tc>
          <w:tcPr>
            <w:tcW w:w="1260" w:type="dxa"/>
            <w:vMerge w:val="continue"/>
            <w:tcBorders>
              <w:top w:val="nil"/>
              <w:bottom w:val="nil"/>
            </w:tcBorders>
            <w:vAlign w:val="top"/>
          </w:tcPr>
          <w:p w14:paraId="2E550AA8">
            <w:pPr>
              <w:rPr>
                <w:rFonts w:ascii="Arial"/>
                <w:sz w:val="21"/>
              </w:rPr>
            </w:pPr>
          </w:p>
        </w:tc>
        <w:tc>
          <w:tcPr>
            <w:tcW w:w="3307" w:type="dxa"/>
            <w:vMerge w:val="continue"/>
            <w:tcBorders>
              <w:top w:val="nil"/>
              <w:bottom w:val="nil"/>
            </w:tcBorders>
            <w:vAlign w:val="top"/>
          </w:tcPr>
          <w:p w14:paraId="09CC2A4D">
            <w:pPr>
              <w:rPr>
                <w:rFonts w:ascii="Arial"/>
                <w:sz w:val="21"/>
              </w:rPr>
            </w:pPr>
          </w:p>
        </w:tc>
        <w:tc>
          <w:tcPr>
            <w:tcW w:w="6193" w:type="dxa"/>
            <w:vAlign w:val="top"/>
          </w:tcPr>
          <w:p w14:paraId="78B48163">
            <w:pPr>
              <w:spacing w:line="315" w:lineRule="auto"/>
              <w:rPr>
                <w:rFonts w:ascii="Arial"/>
                <w:sz w:val="21"/>
              </w:rPr>
            </w:pPr>
          </w:p>
          <w:p w14:paraId="0B6FF57C">
            <w:pPr>
              <w:pStyle w:val="6"/>
              <w:spacing w:before="61" w:line="307"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57A8B234">
            <w:pPr>
              <w:rPr>
                <w:rFonts w:ascii="Arial"/>
                <w:sz w:val="21"/>
              </w:rPr>
            </w:pPr>
          </w:p>
        </w:tc>
      </w:tr>
      <w:tr w14:paraId="1F9A5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45A1DD17">
            <w:pPr>
              <w:rPr>
                <w:rFonts w:ascii="Arial"/>
                <w:sz w:val="21"/>
              </w:rPr>
            </w:pPr>
          </w:p>
        </w:tc>
        <w:tc>
          <w:tcPr>
            <w:tcW w:w="1260" w:type="dxa"/>
            <w:vMerge w:val="continue"/>
            <w:tcBorders>
              <w:top w:val="nil"/>
              <w:bottom w:val="nil"/>
            </w:tcBorders>
            <w:vAlign w:val="top"/>
          </w:tcPr>
          <w:p w14:paraId="40E53F91">
            <w:pPr>
              <w:rPr>
                <w:rFonts w:ascii="Arial"/>
                <w:sz w:val="21"/>
              </w:rPr>
            </w:pPr>
          </w:p>
        </w:tc>
        <w:tc>
          <w:tcPr>
            <w:tcW w:w="3307" w:type="dxa"/>
            <w:vMerge w:val="continue"/>
            <w:tcBorders>
              <w:top w:val="nil"/>
              <w:bottom w:val="nil"/>
            </w:tcBorders>
            <w:vAlign w:val="top"/>
          </w:tcPr>
          <w:p w14:paraId="42CDCB3D">
            <w:pPr>
              <w:rPr>
                <w:rFonts w:ascii="Arial"/>
                <w:sz w:val="21"/>
              </w:rPr>
            </w:pPr>
          </w:p>
        </w:tc>
        <w:tc>
          <w:tcPr>
            <w:tcW w:w="6193" w:type="dxa"/>
            <w:vAlign w:val="top"/>
          </w:tcPr>
          <w:p w14:paraId="1FE7375C">
            <w:pPr>
              <w:pStyle w:val="6"/>
              <w:spacing w:before="68"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15A26936">
            <w:pPr>
              <w:rPr>
                <w:rFonts w:ascii="Arial"/>
                <w:sz w:val="21"/>
              </w:rPr>
            </w:pPr>
          </w:p>
        </w:tc>
      </w:tr>
      <w:tr w14:paraId="5C3AE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026739A2">
            <w:pPr>
              <w:rPr>
                <w:rFonts w:ascii="Arial"/>
                <w:sz w:val="21"/>
              </w:rPr>
            </w:pPr>
          </w:p>
        </w:tc>
        <w:tc>
          <w:tcPr>
            <w:tcW w:w="1260" w:type="dxa"/>
            <w:vMerge w:val="continue"/>
            <w:tcBorders>
              <w:top w:val="nil"/>
            </w:tcBorders>
            <w:vAlign w:val="top"/>
          </w:tcPr>
          <w:p w14:paraId="6D59BB4B">
            <w:pPr>
              <w:rPr>
                <w:rFonts w:ascii="Arial"/>
                <w:sz w:val="21"/>
              </w:rPr>
            </w:pPr>
          </w:p>
        </w:tc>
        <w:tc>
          <w:tcPr>
            <w:tcW w:w="3307" w:type="dxa"/>
            <w:vMerge w:val="continue"/>
            <w:tcBorders>
              <w:top w:val="nil"/>
            </w:tcBorders>
            <w:vAlign w:val="top"/>
          </w:tcPr>
          <w:p w14:paraId="1361F317">
            <w:pPr>
              <w:rPr>
                <w:rFonts w:ascii="Arial"/>
                <w:sz w:val="21"/>
              </w:rPr>
            </w:pPr>
          </w:p>
        </w:tc>
        <w:tc>
          <w:tcPr>
            <w:tcW w:w="6193" w:type="dxa"/>
            <w:vAlign w:val="top"/>
          </w:tcPr>
          <w:p w14:paraId="24EB8977">
            <w:pPr>
              <w:pStyle w:val="6"/>
              <w:spacing w:before="89" w:line="224" w:lineRule="auto"/>
              <w:ind w:left="121"/>
            </w:pPr>
            <w:r>
              <w:rPr>
                <w:spacing w:val="8"/>
              </w:rPr>
              <w:t>5、其他法律法规规章规定应履行的责任。</w:t>
            </w:r>
          </w:p>
        </w:tc>
        <w:tc>
          <w:tcPr>
            <w:tcW w:w="3768" w:type="dxa"/>
            <w:vMerge w:val="continue"/>
            <w:tcBorders>
              <w:top w:val="nil"/>
            </w:tcBorders>
            <w:vAlign w:val="top"/>
          </w:tcPr>
          <w:p w14:paraId="37175C52">
            <w:pPr>
              <w:rPr>
                <w:rFonts w:ascii="Arial"/>
                <w:sz w:val="21"/>
              </w:rPr>
            </w:pPr>
          </w:p>
        </w:tc>
      </w:tr>
      <w:tr w14:paraId="5F9C2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7C367ED0">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1BBD7BD4">
      <w:pPr>
        <w:pStyle w:val="2"/>
      </w:pPr>
    </w:p>
    <w:p w14:paraId="24FA0F90">
      <w:pPr>
        <w:sectPr>
          <w:footerReference r:id="rId28" w:type="default"/>
          <w:pgSz w:w="16839" w:h="11906"/>
          <w:pgMar w:top="1012" w:right="685" w:bottom="1213" w:left="895" w:header="0" w:footer="937" w:gutter="0"/>
          <w:cols w:space="720" w:num="1"/>
        </w:sectPr>
      </w:pPr>
    </w:p>
    <w:p w14:paraId="77A3C53D">
      <w:pPr>
        <w:spacing w:before="36"/>
      </w:pPr>
    </w:p>
    <w:p w14:paraId="5DAD4BE3">
      <w:pPr>
        <w:spacing w:before="36"/>
      </w:pPr>
    </w:p>
    <w:p w14:paraId="461EFD6D">
      <w:pPr>
        <w:spacing w:before="36"/>
      </w:pPr>
    </w:p>
    <w:p w14:paraId="07CD9D6D">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7D723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296730AF">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574DE101">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6C1F6D31">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0909A25D">
            <w:pPr>
              <w:spacing w:before="190"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64C2AE54">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6BE0F286">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69F05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724" w:type="dxa"/>
            <w:vMerge w:val="restart"/>
            <w:tcBorders>
              <w:bottom w:val="nil"/>
            </w:tcBorders>
            <w:textDirection w:val="tbRlV"/>
            <w:vAlign w:val="top"/>
          </w:tcPr>
          <w:p w14:paraId="0025A28E">
            <w:pPr>
              <w:pStyle w:val="6"/>
              <w:spacing w:before="255" w:line="213" w:lineRule="auto"/>
              <w:ind w:left="1899"/>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31D3A9DB">
            <w:pPr>
              <w:spacing w:line="267" w:lineRule="auto"/>
              <w:rPr>
                <w:rFonts w:ascii="Arial"/>
                <w:sz w:val="21"/>
              </w:rPr>
            </w:pPr>
          </w:p>
          <w:p w14:paraId="266E2E7D">
            <w:pPr>
              <w:spacing w:line="267" w:lineRule="auto"/>
              <w:rPr>
                <w:rFonts w:ascii="Arial"/>
                <w:sz w:val="21"/>
              </w:rPr>
            </w:pPr>
          </w:p>
          <w:p w14:paraId="29A4A3AE">
            <w:pPr>
              <w:spacing w:line="267" w:lineRule="auto"/>
              <w:rPr>
                <w:rFonts w:ascii="Arial"/>
                <w:sz w:val="21"/>
              </w:rPr>
            </w:pPr>
          </w:p>
          <w:p w14:paraId="0E10C5A3">
            <w:pPr>
              <w:spacing w:line="268" w:lineRule="auto"/>
              <w:rPr>
                <w:rFonts w:ascii="Arial"/>
                <w:sz w:val="21"/>
              </w:rPr>
            </w:pPr>
          </w:p>
          <w:p w14:paraId="66AC59BA">
            <w:pPr>
              <w:spacing w:line="268" w:lineRule="auto"/>
              <w:rPr>
                <w:rFonts w:ascii="Arial"/>
                <w:sz w:val="21"/>
              </w:rPr>
            </w:pPr>
          </w:p>
          <w:p w14:paraId="5846ED72">
            <w:pPr>
              <w:spacing w:line="268" w:lineRule="auto"/>
              <w:rPr>
                <w:rFonts w:ascii="Arial"/>
                <w:sz w:val="21"/>
              </w:rPr>
            </w:pPr>
          </w:p>
          <w:p w14:paraId="5C956763">
            <w:pPr>
              <w:pStyle w:val="6"/>
              <w:spacing w:before="62" w:line="310" w:lineRule="auto"/>
              <w:ind w:left="109" w:right="153" w:firstLine="10"/>
              <w:jc w:val="both"/>
            </w:pPr>
            <w:r>
              <w:rPr>
                <w:spacing w:val="4"/>
              </w:rPr>
              <w:t>25.对涉嫌</w:t>
            </w:r>
            <w:r>
              <w:rPr>
                <w:spacing w:val="8"/>
              </w:rPr>
              <w:t>违反计量法律、法规规定的涉案财物进行封存</w:t>
            </w:r>
          </w:p>
        </w:tc>
        <w:tc>
          <w:tcPr>
            <w:tcW w:w="3307" w:type="dxa"/>
            <w:vMerge w:val="restart"/>
            <w:tcBorders>
              <w:bottom w:val="nil"/>
            </w:tcBorders>
            <w:vAlign w:val="top"/>
          </w:tcPr>
          <w:p w14:paraId="767124C7">
            <w:pPr>
              <w:pStyle w:val="6"/>
              <w:spacing w:before="242" w:line="310" w:lineRule="auto"/>
              <w:ind w:left="107" w:right="47" w:firstLine="401"/>
            </w:pPr>
            <w:r>
              <w:rPr>
                <w:spacing w:val="9"/>
              </w:rPr>
              <w:t>《中华人民共和国计量法实施</w:t>
            </w:r>
            <w:r>
              <w:rPr>
                <w:spacing w:val="-3"/>
              </w:rPr>
              <w:t>细则》</w:t>
            </w:r>
            <w:r>
              <w:rPr>
                <w:spacing w:val="-17"/>
              </w:rPr>
              <w:t xml:space="preserve"> </w:t>
            </w:r>
            <w:r>
              <w:rPr>
                <w:spacing w:val="-3"/>
              </w:rPr>
              <w:t>(1987</w:t>
            </w:r>
            <w:r>
              <w:rPr>
                <w:spacing w:val="-35"/>
              </w:rPr>
              <w:t xml:space="preserve"> </w:t>
            </w:r>
            <w:r>
              <w:rPr>
                <w:spacing w:val="-3"/>
              </w:rPr>
              <w:t>年</w:t>
            </w:r>
            <w:r>
              <w:rPr>
                <w:spacing w:val="-29"/>
              </w:rPr>
              <w:t xml:space="preserve"> </w:t>
            </w:r>
            <w:r>
              <w:rPr>
                <w:spacing w:val="-3"/>
              </w:rPr>
              <w:t>2</w:t>
            </w:r>
            <w:r>
              <w:rPr>
                <w:spacing w:val="-26"/>
              </w:rPr>
              <w:t xml:space="preserve"> </w:t>
            </w:r>
            <w:r>
              <w:rPr>
                <w:spacing w:val="-3"/>
              </w:rPr>
              <w:t>月</w:t>
            </w:r>
            <w:r>
              <w:rPr>
                <w:spacing w:val="-24"/>
              </w:rPr>
              <w:t xml:space="preserve"> </w:t>
            </w:r>
            <w:r>
              <w:rPr>
                <w:spacing w:val="-3"/>
              </w:rPr>
              <w:t>1 日实施)第四</w:t>
            </w:r>
            <w:r>
              <w:rPr>
                <w:spacing w:val="6"/>
              </w:rPr>
              <w:t>十七条：</w:t>
            </w:r>
            <w:r>
              <w:rPr>
                <w:spacing w:val="-41"/>
              </w:rPr>
              <w:t xml:space="preserve"> </w:t>
            </w:r>
            <w:r>
              <w:rPr>
                <w:spacing w:val="6"/>
              </w:rPr>
              <w:t>“未取得《制造计量器具</w:t>
            </w:r>
            <w:r>
              <w:rPr>
                <w:spacing w:val="9"/>
              </w:rPr>
              <w:t>许可证》或者《修理计量器具许可证》制造、修理计量器具的，责令</w:t>
            </w:r>
            <w:r>
              <w:rPr>
                <w:spacing w:val="6"/>
              </w:rPr>
              <w:t>其停止生产、停止营业，封存制造、</w:t>
            </w:r>
            <w:r>
              <w:rPr>
                <w:spacing w:val="9"/>
              </w:rPr>
              <w:t>修理的计量器具，没收全部违法所得，可并处相当其违法所得百分之</w:t>
            </w:r>
            <w:r>
              <w:rPr>
                <w:spacing w:val="7"/>
              </w:rPr>
              <w:t>十至百分之五十的罚款。</w:t>
            </w:r>
            <w:r>
              <w:rPr>
                <w:spacing w:val="-56"/>
              </w:rPr>
              <w:t xml:space="preserve"> </w:t>
            </w:r>
            <w:r>
              <w:rPr>
                <w:spacing w:val="7"/>
              </w:rPr>
              <w:t>”第四十</w:t>
            </w:r>
            <w:r>
              <w:rPr>
                <w:spacing w:val="6"/>
              </w:rPr>
              <w:t>八条：</w:t>
            </w:r>
            <w:r>
              <w:rPr>
                <w:spacing w:val="-43"/>
              </w:rPr>
              <w:t xml:space="preserve"> </w:t>
            </w:r>
            <w:r>
              <w:rPr>
                <w:spacing w:val="6"/>
              </w:rPr>
              <w:t>“制造、销售未经型式批准</w:t>
            </w:r>
            <w:r>
              <w:rPr>
                <w:spacing w:val="9"/>
              </w:rPr>
              <w:t>或样机试验合格的计量器具新产品的，责令其停止制造、销售，封存</w:t>
            </w:r>
            <w:r>
              <w:rPr>
                <w:spacing w:val="8"/>
              </w:rPr>
              <w:t>该种新产品，没收全部违法所得，</w:t>
            </w:r>
          </w:p>
          <w:p w14:paraId="4B6F08DF">
            <w:pPr>
              <w:pStyle w:val="6"/>
              <w:spacing w:line="223" w:lineRule="auto"/>
              <w:ind w:left="120"/>
            </w:pPr>
            <w:r>
              <w:rPr>
                <w:spacing w:val="13"/>
              </w:rPr>
              <w:t>可并处三千元以下的罚款。</w:t>
            </w:r>
            <w:r>
              <w:rPr>
                <w:spacing w:val="-58"/>
              </w:rPr>
              <w:t xml:space="preserve"> </w:t>
            </w:r>
            <w:r>
              <w:rPr>
                <w:spacing w:val="13"/>
              </w:rPr>
              <w:t>”</w:t>
            </w:r>
          </w:p>
        </w:tc>
        <w:tc>
          <w:tcPr>
            <w:tcW w:w="6193" w:type="dxa"/>
            <w:vAlign w:val="top"/>
          </w:tcPr>
          <w:p w14:paraId="22A96580">
            <w:pPr>
              <w:pStyle w:val="6"/>
              <w:spacing w:before="303" w:line="224" w:lineRule="auto"/>
              <w:ind w:left="124"/>
            </w:pPr>
            <w:r>
              <w:rPr>
                <w:spacing w:val="8"/>
              </w:rPr>
              <w:t>1、核实违法事实，报行政机关负责人批准。</w:t>
            </w:r>
          </w:p>
        </w:tc>
        <w:tc>
          <w:tcPr>
            <w:tcW w:w="3768" w:type="dxa"/>
            <w:vMerge w:val="restart"/>
            <w:tcBorders>
              <w:bottom w:val="nil"/>
            </w:tcBorders>
            <w:vAlign w:val="top"/>
          </w:tcPr>
          <w:p w14:paraId="68F09A9D">
            <w:pPr>
              <w:spacing w:line="245" w:lineRule="auto"/>
              <w:rPr>
                <w:rFonts w:ascii="Arial"/>
                <w:sz w:val="21"/>
              </w:rPr>
            </w:pPr>
          </w:p>
          <w:p w14:paraId="4E677A16">
            <w:pPr>
              <w:spacing w:line="245" w:lineRule="auto"/>
              <w:rPr>
                <w:rFonts w:ascii="Arial"/>
                <w:sz w:val="21"/>
              </w:rPr>
            </w:pPr>
          </w:p>
          <w:p w14:paraId="344A5C46">
            <w:pPr>
              <w:spacing w:line="245" w:lineRule="auto"/>
              <w:rPr>
                <w:rFonts w:ascii="Arial"/>
                <w:sz w:val="21"/>
              </w:rPr>
            </w:pPr>
          </w:p>
          <w:p w14:paraId="66BA1C5C">
            <w:pPr>
              <w:spacing w:line="245" w:lineRule="auto"/>
              <w:rPr>
                <w:rFonts w:ascii="Arial"/>
                <w:sz w:val="21"/>
              </w:rPr>
            </w:pPr>
          </w:p>
          <w:p w14:paraId="68ACBAF2">
            <w:pPr>
              <w:spacing w:line="245" w:lineRule="auto"/>
              <w:rPr>
                <w:rFonts w:ascii="Arial"/>
                <w:sz w:val="21"/>
              </w:rPr>
            </w:pPr>
          </w:p>
          <w:p w14:paraId="04B68E2A">
            <w:pPr>
              <w:spacing w:line="245" w:lineRule="auto"/>
              <w:rPr>
                <w:rFonts w:ascii="Arial"/>
                <w:sz w:val="21"/>
              </w:rPr>
            </w:pPr>
          </w:p>
          <w:p w14:paraId="27B669EC">
            <w:pPr>
              <w:spacing w:line="245" w:lineRule="auto"/>
              <w:rPr>
                <w:rFonts w:ascii="Arial"/>
                <w:sz w:val="21"/>
              </w:rPr>
            </w:pPr>
          </w:p>
          <w:p w14:paraId="29EDB66D">
            <w:pPr>
              <w:spacing w:line="246" w:lineRule="auto"/>
              <w:rPr>
                <w:rFonts w:ascii="Arial"/>
                <w:sz w:val="21"/>
              </w:rPr>
            </w:pPr>
          </w:p>
          <w:p w14:paraId="3B10CA69">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5FF14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24" w:type="dxa"/>
            <w:vMerge w:val="continue"/>
            <w:tcBorders>
              <w:top w:val="nil"/>
              <w:bottom w:val="nil"/>
            </w:tcBorders>
            <w:textDirection w:val="tbRlV"/>
            <w:vAlign w:val="top"/>
          </w:tcPr>
          <w:p w14:paraId="424EBECE">
            <w:pPr>
              <w:rPr>
                <w:rFonts w:ascii="Arial"/>
                <w:sz w:val="21"/>
              </w:rPr>
            </w:pPr>
          </w:p>
        </w:tc>
        <w:tc>
          <w:tcPr>
            <w:tcW w:w="1260" w:type="dxa"/>
            <w:vMerge w:val="continue"/>
            <w:tcBorders>
              <w:top w:val="nil"/>
              <w:bottom w:val="nil"/>
            </w:tcBorders>
            <w:vAlign w:val="top"/>
          </w:tcPr>
          <w:p w14:paraId="69084363">
            <w:pPr>
              <w:rPr>
                <w:rFonts w:ascii="Arial"/>
                <w:sz w:val="21"/>
              </w:rPr>
            </w:pPr>
          </w:p>
        </w:tc>
        <w:tc>
          <w:tcPr>
            <w:tcW w:w="3307" w:type="dxa"/>
            <w:vMerge w:val="continue"/>
            <w:tcBorders>
              <w:top w:val="nil"/>
              <w:bottom w:val="nil"/>
            </w:tcBorders>
            <w:vAlign w:val="top"/>
          </w:tcPr>
          <w:p w14:paraId="77036211">
            <w:pPr>
              <w:rPr>
                <w:rFonts w:ascii="Arial"/>
                <w:sz w:val="21"/>
              </w:rPr>
            </w:pPr>
          </w:p>
        </w:tc>
        <w:tc>
          <w:tcPr>
            <w:tcW w:w="6193" w:type="dxa"/>
            <w:vAlign w:val="top"/>
          </w:tcPr>
          <w:p w14:paraId="2EBEE857">
            <w:pPr>
              <w:pStyle w:val="6"/>
              <w:spacing w:before="266" w:line="224" w:lineRule="auto"/>
              <w:ind w:left="119"/>
            </w:pPr>
            <w:r>
              <w:rPr>
                <w:spacing w:val="7"/>
              </w:rPr>
              <w:t>2、依法作出处理决定。</w:t>
            </w:r>
          </w:p>
        </w:tc>
        <w:tc>
          <w:tcPr>
            <w:tcW w:w="3768" w:type="dxa"/>
            <w:vMerge w:val="continue"/>
            <w:tcBorders>
              <w:top w:val="nil"/>
              <w:bottom w:val="nil"/>
            </w:tcBorders>
            <w:vAlign w:val="top"/>
          </w:tcPr>
          <w:p w14:paraId="04B2443A">
            <w:pPr>
              <w:rPr>
                <w:rFonts w:ascii="Arial"/>
                <w:sz w:val="21"/>
              </w:rPr>
            </w:pPr>
          </w:p>
        </w:tc>
      </w:tr>
      <w:tr w14:paraId="4857F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689621D4">
            <w:pPr>
              <w:rPr>
                <w:rFonts w:ascii="Arial"/>
                <w:sz w:val="21"/>
              </w:rPr>
            </w:pPr>
          </w:p>
        </w:tc>
        <w:tc>
          <w:tcPr>
            <w:tcW w:w="1260" w:type="dxa"/>
            <w:vMerge w:val="continue"/>
            <w:tcBorders>
              <w:top w:val="nil"/>
              <w:bottom w:val="nil"/>
            </w:tcBorders>
            <w:vAlign w:val="top"/>
          </w:tcPr>
          <w:p w14:paraId="30CB209D">
            <w:pPr>
              <w:rPr>
                <w:rFonts w:ascii="Arial"/>
                <w:sz w:val="21"/>
              </w:rPr>
            </w:pPr>
          </w:p>
        </w:tc>
        <w:tc>
          <w:tcPr>
            <w:tcW w:w="3307" w:type="dxa"/>
            <w:vMerge w:val="continue"/>
            <w:tcBorders>
              <w:top w:val="nil"/>
              <w:bottom w:val="nil"/>
            </w:tcBorders>
            <w:vAlign w:val="top"/>
          </w:tcPr>
          <w:p w14:paraId="6FEA1E29">
            <w:pPr>
              <w:rPr>
                <w:rFonts w:ascii="Arial"/>
                <w:sz w:val="21"/>
              </w:rPr>
            </w:pPr>
          </w:p>
        </w:tc>
        <w:tc>
          <w:tcPr>
            <w:tcW w:w="6193" w:type="dxa"/>
            <w:vAlign w:val="top"/>
          </w:tcPr>
          <w:p w14:paraId="73ED0949">
            <w:pPr>
              <w:spacing w:line="313" w:lineRule="auto"/>
              <w:rPr>
                <w:rFonts w:ascii="Arial"/>
                <w:sz w:val="21"/>
              </w:rPr>
            </w:pPr>
          </w:p>
          <w:p w14:paraId="454BD769">
            <w:pPr>
              <w:pStyle w:val="6"/>
              <w:spacing w:before="61"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7F44F664">
            <w:pPr>
              <w:rPr>
                <w:rFonts w:ascii="Arial"/>
                <w:sz w:val="21"/>
              </w:rPr>
            </w:pPr>
          </w:p>
        </w:tc>
      </w:tr>
      <w:tr w14:paraId="44D56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3400A412">
            <w:pPr>
              <w:rPr>
                <w:rFonts w:ascii="Arial"/>
                <w:sz w:val="21"/>
              </w:rPr>
            </w:pPr>
          </w:p>
        </w:tc>
        <w:tc>
          <w:tcPr>
            <w:tcW w:w="1260" w:type="dxa"/>
            <w:vMerge w:val="continue"/>
            <w:tcBorders>
              <w:top w:val="nil"/>
              <w:bottom w:val="nil"/>
            </w:tcBorders>
            <w:vAlign w:val="top"/>
          </w:tcPr>
          <w:p w14:paraId="50A4ADE2">
            <w:pPr>
              <w:rPr>
                <w:rFonts w:ascii="Arial"/>
                <w:sz w:val="21"/>
              </w:rPr>
            </w:pPr>
          </w:p>
        </w:tc>
        <w:tc>
          <w:tcPr>
            <w:tcW w:w="3307" w:type="dxa"/>
            <w:vMerge w:val="continue"/>
            <w:tcBorders>
              <w:top w:val="nil"/>
              <w:bottom w:val="nil"/>
            </w:tcBorders>
            <w:vAlign w:val="top"/>
          </w:tcPr>
          <w:p w14:paraId="304A830C">
            <w:pPr>
              <w:rPr>
                <w:rFonts w:ascii="Arial"/>
                <w:sz w:val="21"/>
              </w:rPr>
            </w:pPr>
          </w:p>
        </w:tc>
        <w:tc>
          <w:tcPr>
            <w:tcW w:w="6193" w:type="dxa"/>
            <w:vAlign w:val="top"/>
          </w:tcPr>
          <w:p w14:paraId="6FB15B53">
            <w:pPr>
              <w:pStyle w:val="6"/>
              <w:spacing w:before="67"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0637B282">
            <w:pPr>
              <w:rPr>
                <w:rFonts w:ascii="Arial"/>
                <w:sz w:val="21"/>
              </w:rPr>
            </w:pPr>
          </w:p>
        </w:tc>
      </w:tr>
      <w:tr w14:paraId="54675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0F62AAC7">
            <w:pPr>
              <w:rPr>
                <w:rFonts w:ascii="Arial"/>
                <w:sz w:val="21"/>
              </w:rPr>
            </w:pPr>
          </w:p>
        </w:tc>
        <w:tc>
          <w:tcPr>
            <w:tcW w:w="1260" w:type="dxa"/>
            <w:vMerge w:val="continue"/>
            <w:tcBorders>
              <w:top w:val="nil"/>
            </w:tcBorders>
            <w:vAlign w:val="top"/>
          </w:tcPr>
          <w:p w14:paraId="413B01E4">
            <w:pPr>
              <w:rPr>
                <w:rFonts w:ascii="Arial"/>
                <w:sz w:val="21"/>
              </w:rPr>
            </w:pPr>
          </w:p>
        </w:tc>
        <w:tc>
          <w:tcPr>
            <w:tcW w:w="3307" w:type="dxa"/>
            <w:vMerge w:val="continue"/>
            <w:tcBorders>
              <w:top w:val="nil"/>
            </w:tcBorders>
            <w:vAlign w:val="top"/>
          </w:tcPr>
          <w:p w14:paraId="4B01ED8C">
            <w:pPr>
              <w:rPr>
                <w:rFonts w:ascii="Arial"/>
                <w:sz w:val="21"/>
              </w:rPr>
            </w:pPr>
          </w:p>
        </w:tc>
        <w:tc>
          <w:tcPr>
            <w:tcW w:w="6193" w:type="dxa"/>
            <w:vAlign w:val="top"/>
          </w:tcPr>
          <w:p w14:paraId="47D3E1EC">
            <w:pPr>
              <w:pStyle w:val="6"/>
              <w:spacing w:before="89" w:line="224" w:lineRule="auto"/>
              <w:ind w:left="121"/>
            </w:pPr>
            <w:r>
              <w:rPr>
                <w:spacing w:val="8"/>
              </w:rPr>
              <w:t>5、其他法律法规规章规定应履行的责任。</w:t>
            </w:r>
          </w:p>
        </w:tc>
        <w:tc>
          <w:tcPr>
            <w:tcW w:w="3768" w:type="dxa"/>
            <w:vMerge w:val="continue"/>
            <w:tcBorders>
              <w:top w:val="nil"/>
            </w:tcBorders>
            <w:vAlign w:val="top"/>
          </w:tcPr>
          <w:p w14:paraId="6503FA90">
            <w:pPr>
              <w:rPr>
                <w:rFonts w:ascii="Arial"/>
                <w:sz w:val="21"/>
              </w:rPr>
            </w:pPr>
          </w:p>
        </w:tc>
      </w:tr>
      <w:tr w14:paraId="436E3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13DD906B">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EC7EEE3">
      <w:pPr>
        <w:pStyle w:val="2"/>
      </w:pPr>
    </w:p>
    <w:p w14:paraId="717FBFCB">
      <w:pPr>
        <w:sectPr>
          <w:footerReference r:id="rId29" w:type="default"/>
          <w:pgSz w:w="16839" w:h="11906"/>
          <w:pgMar w:top="1012" w:right="685" w:bottom="1213" w:left="895" w:header="0" w:footer="938" w:gutter="0"/>
          <w:cols w:space="720" w:num="1"/>
        </w:sectPr>
      </w:pPr>
    </w:p>
    <w:p w14:paraId="24B0CE28">
      <w:pPr>
        <w:spacing w:before="22"/>
      </w:pPr>
    </w:p>
    <w:p w14:paraId="1B8EAC7D">
      <w:pPr>
        <w:spacing w:before="22"/>
      </w:pPr>
    </w:p>
    <w:p w14:paraId="2FAF90E3">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155E8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3275F922">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34CE31F">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08CAE5C4">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2DB5658D">
            <w:pPr>
              <w:spacing w:before="189"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4484A0C1">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206487E9">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F314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 w:hRule="atLeast"/>
        </w:trPr>
        <w:tc>
          <w:tcPr>
            <w:tcW w:w="724" w:type="dxa"/>
            <w:vMerge w:val="restart"/>
            <w:tcBorders>
              <w:bottom w:val="nil"/>
            </w:tcBorders>
            <w:textDirection w:val="tbRlV"/>
            <w:vAlign w:val="top"/>
          </w:tcPr>
          <w:p w14:paraId="1393994A">
            <w:pPr>
              <w:pStyle w:val="6"/>
              <w:spacing w:before="255" w:line="213" w:lineRule="auto"/>
              <w:ind w:left="1976"/>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5EE16444">
            <w:pPr>
              <w:spacing w:line="262" w:lineRule="auto"/>
              <w:rPr>
                <w:rFonts w:ascii="Arial"/>
                <w:sz w:val="21"/>
              </w:rPr>
            </w:pPr>
          </w:p>
          <w:p w14:paraId="337BE421">
            <w:pPr>
              <w:spacing w:line="262" w:lineRule="auto"/>
              <w:rPr>
                <w:rFonts w:ascii="Arial"/>
                <w:sz w:val="21"/>
              </w:rPr>
            </w:pPr>
          </w:p>
          <w:p w14:paraId="1F164F1E">
            <w:pPr>
              <w:spacing w:line="262" w:lineRule="auto"/>
              <w:rPr>
                <w:rFonts w:ascii="Arial"/>
                <w:sz w:val="21"/>
              </w:rPr>
            </w:pPr>
          </w:p>
          <w:p w14:paraId="5864D77C">
            <w:pPr>
              <w:spacing w:line="263" w:lineRule="auto"/>
              <w:rPr>
                <w:rFonts w:ascii="Arial"/>
                <w:sz w:val="21"/>
              </w:rPr>
            </w:pPr>
          </w:p>
          <w:p w14:paraId="5951BDB6">
            <w:pPr>
              <w:spacing w:line="263" w:lineRule="auto"/>
              <w:rPr>
                <w:rFonts w:ascii="Arial"/>
                <w:sz w:val="21"/>
              </w:rPr>
            </w:pPr>
          </w:p>
          <w:p w14:paraId="52193336">
            <w:pPr>
              <w:spacing w:line="263" w:lineRule="auto"/>
              <w:rPr>
                <w:rFonts w:ascii="Arial"/>
                <w:sz w:val="21"/>
              </w:rPr>
            </w:pPr>
          </w:p>
          <w:p w14:paraId="1B3B9B52">
            <w:pPr>
              <w:spacing w:line="263" w:lineRule="auto"/>
              <w:rPr>
                <w:rFonts w:ascii="Arial"/>
                <w:sz w:val="21"/>
              </w:rPr>
            </w:pPr>
          </w:p>
          <w:p w14:paraId="605EA18C">
            <w:pPr>
              <w:pStyle w:val="6"/>
              <w:spacing w:before="62" w:line="310" w:lineRule="auto"/>
              <w:ind w:left="115" w:right="153" w:firstLine="3"/>
              <w:jc w:val="both"/>
            </w:pPr>
            <w:r>
              <w:rPr>
                <w:spacing w:val="-3"/>
              </w:rPr>
              <w:t>26.对进</w:t>
            </w:r>
            <w:r>
              <w:rPr>
                <w:spacing w:val="-49"/>
              </w:rPr>
              <w:t xml:space="preserve"> </w:t>
            </w:r>
            <w:r>
              <w:rPr>
                <w:spacing w:val="-3"/>
              </w:rPr>
              <w:t>口</w:t>
            </w:r>
            <w:r>
              <w:rPr>
                <w:spacing w:val="7"/>
              </w:rPr>
              <w:t>不符合强制性标准的产品进行封存</w:t>
            </w:r>
          </w:p>
        </w:tc>
        <w:tc>
          <w:tcPr>
            <w:tcW w:w="3307" w:type="dxa"/>
            <w:vMerge w:val="restart"/>
            <w:tcBorders>
              <w:bottom w:val="nil"/>
            </w:tcBorders>
            <w:vAlign w:val="top"/>
          </w:tcPr>
          <w:p w14:paraId="44098522">
            <w:pPr>
              <w:spacing w:line="286" w:lineRule="auto"/>
              <w:rPr>
                <w:rFonts w:ascii="Arial"/>
                <w:sz w:val="21"/>
              </w:rPr>
            </w:pPr>
          </w:p>
          <w:p w14:paraId="3F9620D9">
            <w:pPr>
              <w:spacing w:line="286" w:lineRule="auto"/>
              <w:rPr>
                <w:rFonts w:ascii="Arial"/>
                <w:sz w:val="21"/>
              </w:rPr>
            </w:pPr>
          </w:p>
          <w:p w14:paraId="308C2C08">
            <w:pPr>
              <w:pStyle w:val="6"/>
              <w:spacing w:before="62" w:line="310" w:lineRule="auto"/>
              <w:ind w:left="111" w:right="56" w:hanging="3"/>
              <w:jc w:val="both"/>
            </w:pPr>
            <w:r>
              <w:rPr>
                <w:spacing w:val="6"/>
              </w:rPr>
              <w:t>《标准化法实施条例》（</w:t>
            </w:r>
            <w:r>
              <w:rPr>
                <w:spacing w:val="-40"/>
              </w:rPr>
              <w:t xml:space="preserve"> </w:t>
            </w:r>
            <w:r>
              <w:rPr>
                <w:spacing w:val="6"/>
              </w:rPr>
              <w:t>国务院令</w:t>
            </w:r>
            <w:r>
              <w:rPr>
                <w:spacing w:val="3"/>
              </w:rPr>
              <w:t>第</w:t>
            </w:r>
            <w:r>
              <w:rPr>
                <w:spacing w:val="-23"/>
              </w:rPr>
              <w:t xml:space="preserve"> </w:t>
            </w:r>
            <w:r>
              <w:rPr>
                <w:spacing w:val="3"/>
              </w:rPr>
              <w:t>53</w:t>
            </w:r>
            <w:r>
              <w:rPr>
                <w:spacing w:val="-29"/>
              </w:rPr>
              <w:t xml:space="preserve"> </w:t>
            </w:r>
            <w:r>
              <w:rPr>
                <w:spacing w:val="3"/>
              </w:rPr>
              <w:t>号）第三十三条第三款：</w:t>
            </w:r>
            <w:r>
              <w:rPr>
                <w:spacing w:val="-49"/>
              </w:rPr>
              <w:t xml:space="preserve"> </w:t>
            </w:r>
            <w:r>
              <w:rPr>
                <w:spacing w:val="3"/>
              </w:rPr>
              <w:t>“进</w:t>
            </w:r>
            <w:r>
              <w:rPr>
                <w:spacing w:val="9"/>
              </w:rPr>
              <w:t>口不符合强制性标准的产品的，应当封存并没收该产品，监督销毁或作必要技术处理；处以进口产品货值金额百分之二十至百分之五十的</w:t>
            </w:r>
            <w:r>
              <w:rPr>
                <w:spacing w:val="5"/>
              </w:rPr>
              <w:t>罚款；对有关责任者给予行政处分，</w:t>
            </w:r>
            <w:r>
              <w:rPr>
                <w:spacing w:val="9"/>
              </w:rPr>
              <w:t>并可处以五千元以下罚款。本条规</w:t>
            </w:r>
            <w:r>
              <w:rPr>
                <w:spacing w:val="6"/>
              </w:rPr>
              <w:t>定的责令停止生产、行政处分，</w:t>
            </w:r>
            <w:r>
              <w:rPr>
                <w:spacing w:val="-45"/>
              </w:rPr>
              <w:t xml:space="preserve"> </w:t>
            </w:r>
            <w:r>
              <w:rPr>
                <w:spacing w:val="6"/>
              </w:rPr>
              <w:t>由</w:t>
            </w:r>
            <w:r>
              <w:rPr>
                <w:spacing w:val="9"/>
              </w:rPr>
              <w:t>有关行政主管部门决定；其他行政强制由标准化行政主管部门和工商</w:t>
            </w:r>
            <w:r>
              <w:rPr>
                <w:spacing w:val="13"/>
              </w:rPr>
              <w:t>行政管理部门依据职权决定。</w:t>
            </w:r>
            <w:r>
              <w:rPr>
                <w:spacing w:val="-53"/>
              </w:rPr>
              <w:t xml:space="preserve"> </w:t>
            </w:r>
            <w:r>
              <w:rPr>
                <w:spacing w:val="13"/>
              </w:rPr>
              <w:t>”</w:t>
            </w:r>
          </w:p>
        </w:tc>
        <w:tc>
          <w:tcPr>
            <w:tcW w:w="6193" w:type="dxa"/>
            <w:vAlign w:val="top"/>
          </w:tcPr>
          <w:p w14:paraId="14A7F3D0">
            <w:pPr>
              <w:spacing w:line="323" w:lineRule="auto"/>
              <w:rPr>
                <w:rFonts w:ascii="Arial"/>
                <w:sz w:val="21"/>
              </w:rPr>
            </w:pPr>
          </w:p>
          <w:p w14:paraId="1F0D7936">
            <w:pPr>
              <w:pStyle w:val="6"/>
              <w:spacing w:before="61" w:line="224" w:lineRule="auto"/>
              <w:ind w:left="124"/>
            </w:pPr>
            <w:r>
              <w:rPr>
                <w:spacing w:val="8"/>
              </w:rPr>
              <w:t>1、核实违法事实，报行政机关负责人批准。</w:t>
            </w:r>
          </w:p>
        </w:tc>
        <w:tc>
          <w:tcPr>
            <w:tcW w:w="3768" w:type="dxa"/>
            <w:vMerge w:val="restart"/>
            <w:tcBorders>
              <w:bottom w:val="nil"/>
            </w:tcBorders>
            <w:vAlign w:val="top"/>
          </w:tcPr>
          <w:p w14:paraId="7B5E1C76">
            <w:pPr>
              <w:spacing w:line="254" w:lineRule="auto"/>
              <w:rPr>
                <w:rFonts w:ascii="Arial"/>
                <w:sz w:val="21"/>
              </w:rPr>
            </w:pPr>
          </w:p>
          <w:p w14:paraId="5A2B8E77">
            <w:pPr>
              <w:spacing w:line="254" w:lineRule="auto"/>
              <w:rPr>
                <w:rFonts w:ascii="Arial"/>
                <w:sz w:val="21"/>
              </w:rPr>
            </w:pPr>
          </w:p>
          <w:p w14:paraId="4FE64CCF">
            <w:pPr>
              <w:spacing w:line="255" w:lineRule="auto"/>
              <w:rPr>
                <w:rFonts w:ascii="Arial"/>
                <w:sz w:val="21"/>
              </w:rPr>
            </w:pPr>
          </w:p>
          <w:p w14:paraId="45ADCEB0">
            <w:pPr>
              <w:spacing w:line="255" w:lineRule="auto"/>
              <w:rPr>
                <w:rFonts w:ascii="Arial"/>
                <w:sz w:val="21"/>
              </w:rPr>
            </w:pPr>
          </w:p>
          <w:p w14:paraId="0E522716">
            <w:pPr>
              <w:spacing w:line="255" w:lineRule="auto"/>
              <w:rPr>
                <w:rFonts w:ascii="Arial"/>
                <w:sz w:val="21"/>
              </w:rPr>
            </w:pPr>
          </w:p>
          <w:p w14:paraId="451CE9F1">
            <w:pPr>
              <w:spacing w:line="255" w:lineRule="auto"/>
              <w:rPr>
                <w:rFonts w:ascii="Arial"/>
                <w:sz w:val="21"/>
              </w:rPr>
            </w:pPr>
          </w:p>
          <w:p w14:paraId="3BFFD0EB">
            <w:pPr>
              <w:spacing w:line="255" w:lineRule="auto"/>
              <w:rPr>
                <w:rFonts w:ascii="Arial"/>
                <w:sz w:val="21"/>
              </w:rPr>
            </w:pPr>
          </w:p>
          <w:p w14:paraId="1A6FC773">
            <w:pPr>
              <w:spacing w:line="255" w:lineRule="auto"/>
              <w:rPr>
                <w:rFonts w:ascii="Arial"/>
                <w:sz w:val="21"/>
              </w:rPr>
            </w:pPr>
          </w:p>
          <w:p w14:paraId="532F98B5">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24F7D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724" w:type="dxa"/>
            <w:vMerge w:val="continue"/>
            <w:tcBorders>
              <w:top w:val="nil"/>
              <w:bottom w:val="nil"/>
            </w:tcBorders>
            <w:textDirection w:val="tbRlV"/>
            <w:vAlign w:val="top"/>
          </w:tcPr>
          <w:p w14:paraId="5E88ADA2">
            <w:pPr>
              <w:rPr>
                <w:rFonts w:ascii="Arial"/>
                <w:sz w:val="21"/>
              </w:rPr>
            </w:pPr>
          </w:p>
        </w:tc>
        <w:tc>
          <w:tcPr>
            <w:tcW w:w="1260" w:type="dxa"/>
            <w:vMerge w:val="continue"/>
            <w:tcBorders>
              <w:top w:val="nil"/>
              <w:bottom w:val="nil"/>
            </w:tcBorders>
            <w:vAlign w:val="top"/>
          </w:tcPr>
          <w:p w14:paraId="73036779">
            <w:pPr>
              <w:rPr>
                <w:rFonts w:ascii="Arial"/>
                <w:sz w:val="21"/>
              </w:rPr>
            </w:pPr>
          </w:p>
        </w:tc>
        <w:tc>
          <w:tcPr>
            <w:tcW w:w="3307" w:type="dxa"/>
            <w:vMerge w:val="continue"/>
            <w:tcBorders>
              <w:top w:val="nil"/>
              <w:bottom w:val="nil"/>
            </w:tcBorders>
            <w:vAlign w:val="top"/>
          </w:tcPr>
          <w:p w14:paraId="3A2994B4">
            <w:pPr>
              <w:rPr>
                <w:rFonts w:ascii="Arial"/>
                <w:sz w:val="21"/>
              </w:rPr>
            </w:pPr>
          </w:p>
        </w:tc>
        <w:tc>
          <w:tcPr>
            <w:tcW w:w="6193" w:type="dxa"/>
            <w:vAlign w:val="top"/>
          </w:tcPr>
          <w:p w14:paraId="3D85AFD2">
            <w:pPr>
              <w:pStyle w:val="6"/>
              <w:spacing w:before="257" w:line="224" w:lineRule="auto"/>
              <w:ind w:left="119"/>
            </w:pPr>
            <w:r>
              <w:rPr>
                <w:spacing w:val="7"/>
              </w:rPr>
              <w:t>2、依法作出处理决定。</w:t>
            </w:r>
          </w:p>
        </w:tc>
        <w:tc>
          <w:tcPr>
            <w:tcW w:w="3768" w:type="dxa"/>
            <w:vMerge w:val="continue"/>
            <w:tcBorders>
              <w:top w:val="nil"/>
              <w:bottom w:val="nil"/>
            </w:tcBorders>
            <w:vAlign w:val="top"/>
          </w:tcPr>
          <w:p w14:paraId="59E2933A">
            <w:pPr>
              <w:rPr>
                <w:rFonts w:ascii="Arial"/>
                <w:sz w:val="21"/>
              </w:rPr>
            </w:pPr>
          </w:p>
        </w:tc>
      </w:tr>
      <w:tr w14:paraId="50FF5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69D5EB6E">
            <w:pPr>
              <w:rPr>
                <w:rFonts w:ascii="Arial"/>
                <w:sz w:val="21"/>
              </w:rPr>
            </w:pPr>
          </w:p>
        </w:tc>
        <w:tc>
          <w:tcPr>
            <w:tcW w:w="1260" w:type="dxa"/>
            <w:vMerge w:val="continue"/>
            <w:tcBorders>
              <w:top w:val="nil"/>
              <w:bottom w:val="nil"/>
            </w:tcBorders>
            <w:vAlign w:val="top"/>
          </w:tcPr>
          <w:p w14:paraId="622EADF7">
            <w:pPr>
              <w:rPr>
                <w:rFonts w:ascii="Arial"/>
                <w:sz w:val="21"/>
              </w:rPr>
            </w:pPr>
          </w:p>
        </w:tc>
        <w:tc>
          <w:tcPr>
            <w:tcW w:w="3307" w:type="dxa"/>
            <w:vMerge w:val="continue"/>
            <w:tcBorders>
              <w:top w:val="nil"/>
              <w:bottom w:val="nil"/>
            </w:tcBorders>
            <w:vAlign w:val="top"/>
          </w:tcPr>
          <w:p w14:paraId="455CF6B1">
            <w:pPr>
              <w:rPr>
                <w:rFonts w:ascii="Arial"/>
                <w:sz w:val="21"/>
              </w:rPr>
            </w:pPr>
          </w:p>
        </w:tc>
        <w:tc>
          <w:tcPr>
            <w:tcW w:w="6193" w:type="dxa"/>
            <w:vAlign w:val="top"/>
          </w:tcPr>
          <w:p w14:paraId="6F33B308">
            <w:pPr>
              <w:spacing w:line="311" w:lineRule="auto"/>
              <w:rPr>
                <w:rFonts w:ascii="Arial"/>
                <w:sz w:val="21"/>
              </w:rPr>
            </w:pPr>
          </w:p>
          <w:p w14:paraId="0E2227B0">
            <w:pPr>
              <w:pStyle w:val="6"/>
              <w:spacing w:before="62"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331570C7">
            <w:pPr>
              <w:rPr>
                <w:rFonts w:ascii="Arial"/>
                <w:sz w:val="21"/>
              </w:rPr>
            </w:pPr>
          </w:p>
        </w:tc>
      </w:tr>
      <w:tr w14:paraId="55E2FF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79176741">
            <w:pPr>
              <w:rPr>
                <w:rFonts w:ascii="Arial"/>
                <w:sz w:val="21"/>
              </w:rPr>
            </w:pPr>
          </w:p>
        </w:tc>
        <w:tc>
          <w:tcPr>
            <w:tcW w:w="1260" w:type="dxa"/>
            <w:vMerge w:val="continue"/>
            <w:tcBorders>
              <w:top w:val="nil"/>
              <w:bottom w:val="nil"/>
            </w:tcBorders>
            <w:vAlign w:val="top"/>
          </w:tcPr>
          <w:p w14:paraId="7E914360">
            <w:pPr>
              <w:rPr>
                <w:rFonts w:ascii="Arial"/>
                <w:sz w:val="21"/>
              </w:rPr>
            </w:pPr>
          </w:p>
        </w:tc>
        <w:tc>
          <w:tcPr>
            <w:tcW w:w="3307" w:type="dxa"/>
            <w:vMerge w:val="continue"/>
            <w:tcBorders>
              <w:top w:val="nil"/>
              <w:bottom w:val="nil"/>
            </w:tcBorders>
            <w:vAlign w:val="top"/>
          </w:tcPr>
          <w:p w14:paraId="6AF7D7E7">
            <w:pPr>
              <w:rPr>
                <w:rFonts w:ascii="Arial"/>
                <w:sz w:val="21"/>
              </w:rPr>
            </w:pPr>
          </w:p>
        </w:tc>
        <w:tc>
          <w:tcPr>
            <w:tcW w:w="6193" w:type="dxa"/>
            <w:vAlign w:val="top"/>
          </w:tcPr>
          <w:p w14:paraId="0D1946D9">
            <w:pPr>
              <w:pStyle w:val="6"/>
              <w:spacing w:before="65"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7A85338A">
            <w:pPr>
              <w:rPr>
                <w:rFonts w:ascii="Arial"/>
                <w:sz w:val="21"/>
              </w:rPr>
            </w:pPr>
          </w:p>
        </w:tc>
      </w:tr>
      <w:tr w14:paraId="4B2272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5020476E">
            <w:pPr>
              <w:rPr>
                <w:rFonts w:ascii="Arial"/>
                <w:sz w:val="21"/>
              </w:rPr>
            </w:pPr>
          </w:p>
        </w:tc>
        <w:tc>
          <w:tcPr>
            <w:tcW w:w="1260" w:type="dxa"/>
            <w:vMerge w:val="continue"/>
            <w:tcBorders>
              <w:top w:val="nil"/>
            </w:tcBorders>
            <w:vAlign w:val="top"/>
          </w:tcPr>
          <w:p w14:paraId="5C5D2F2C">
            <w:pPr>
              <w:rPr>
                <w:rFonts w:ascii="Arial"/>
                <w:sz w:val="21"/>
              </w:rPr>
            </w:pPr>
          </w:p>
        </w:tc>
        <w:tc>
          <w:tcPr>
            <w:tcW w:w="3307" w:type="dxa"/>
            <w:vMerge w:val="continue"/>
            <w:tcBorders>
              <w:top w:val="nil"/>
            </w:tcBorders>
            <w:vAlign w:val="top"/>
          </w:tcPr>
          <w:p w14:paraId="4CBFE812">
            <w:pPr>
              <w:rPr>
                <w:rFonts w:ascii="Arial"/>
                <w:sz w:val="21"/>
              </w:rPr>
            </w:pPr>
          </w:p>
        </w:tc>
        <w:tc>
          <w:tcPr>
            <w:tcW w:w="6193" w:type="dxa"/>
            <w:vAlign w:val="top"/>
          </w:tcPr>
          <w:p w14:paraId="119FD415">
            <w:pPr>
              <w:pStyle w:val="6"/>
              <w:spacing w:before="90" w:line="224" w:lineRule="auto"/>
              <w:ind w:left="121"/>
            </w:pPr>
            <w:r>
              <w:rPr>
                <w:spacing w:val="8"/>
              </w:rPr>
              <w:t>5、其他法律法规规章规定应履行的责任。</w:t>
            </w:r>
          </w:p>
        </w:tc>
        <w:tc>
          <w:tcPr>
            <w:tcW w:w="3768" w:type="dxa"/>
            <w:vMerge w:val="continue"/>
            <w:tcBorders>
              <w:top w:val="nil"/>
            </w:tcBorders>
            <w:vAlign w:val="top"/>
          </w:tcPr>
          <w:p w14:paraId="2B041DDE">
            <w:pPr>
              <w:rPr>
                <w:rFonts w:ascii="Arial"/>
                <w:sz w:val="21"/>
              </w:rPr>
            </w:pPr>
          </w:p>
        </w:tc>
      </w:tr>
      <w:tr w14:paraId="1C3A2C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3282F7F9">
            <w:pPr>
              <w:pStyle w:val="6"/>
              <w:spacing w:before="236"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237AAA9B">
      <w:pPr>
        <w:pStyle w:val="2"/>
      </w:pPr>
    </w:p>
    <w:p w14:paraId="3807A83F">
      <w:pPr>
        <w:sectPr>
          <w:footerReference r:id="rId30" w:type="default"/>
          <w:pgSz w:w="16839" w:h="11906"/>
          <w:pgMar w:top="1012" w:right="685" w:bottom="1213" w:left="895" w:header="0" w:footer="938" w:gutter="0"/>
          <w:cols w:space="720" w:num="1"/>
        </w:sectPr>
      </w:pPr>
    </w:p>
    <w:p w14:paraId="25C971A7">
      <w:pPr>
        <w:spacing w:before="22"/>
      </w:pPr>
    </w:p>
    <w:p w14:paraId="2E6BE2D2">
      <w:pPr>
        <w:spacing w:before="22"/>
      </w:pPr>
    </w:p>
    <w:p w14:paraId="50689B3A">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20B36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24" w:type="dxa"/>
            <w:vAlign w:val="top"/>
          </w:tcPr>
          <w:p w14:paraId="556DBCFA">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79C10AF4">
            <w:pPr>
              <w:spacing w:before="33" w:line="213"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259CFAFA">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0B946B91">
            <w:pPr>
              <w:spacing w:before="189"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5C227C44">
            <w:pPr>
              <w:spacing w:before="190"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C50BD0B">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4A092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1" w:hRule="atLeast"/>
        </w:trPr>
        <w:tc>
          <w:tcPr>
            <w:tcW w:w="724" w:type="dxa"/>
            <w:vMerge w:val="restart"/>
            <w:tcBorders>
              <w:bottom w:val="nil"/>
            </w:tcBorders>
            <w:textDirection w:val="tbRlV"/>
            <w:vAlign w:val="top"/>
          </w:tcPr>
          <w:p w14:paraId="7B0AF61B">
            <w:pPr>
              <w:pStyle w:val="6"/>
              <w:spacing w:before="255" w:line="213" w:lineRule="auto"/>
              <w:ind w:left="2356"/>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4C09745A">
            <w:pPr>
              <w:spacing w:line="317" w:lineRule="auto"/>
              <w:rPr>
                <w:rFonts w:ascii="Arial"/>
                <w:sz w:val="21"/>
              </w:rPr>
            </w:pPr>
          </w:p>
          <w:p w14:paraId="2DE24524">
            <w:pPr>
              <w:spacing w:line="317" w:lineRule="auto"/>
              <w:rPr>
                <w:rFonts w:ascii="Arial"/>
                <w:sz w:val="21"/>
              </w:rPr>
            </w:pPr>
          </w:p>
          <w:p w14:paraId="3E54D34C">
            <w:pPr>
              <w:pStyle w:val="6"/>
              <w:spacing w:before="62" w:line="310" w:lineRule="auto"/>
              <w:ind w:left="113" w:right="153" w:firstLine="5"/>
            </w:pPr>
            <w:r>
              <w:rPr>
                <w:spacing w:val="4"/>
              </w:rPr>
              <w:t>27.对有根</w:t>
            </w:r>
            <w:r>
              <w:rPr>
                <w:spacing w:val="7"/>
              </w:rPr>
              <w:t>据认为不符</w:t>
            </w:r>
          </w:p>
          <w:p w14:paraId="1DDE0A94">
            <w:pPr>
              <w:pStyle w:val="6"/>
              <w:spacing w:line="310" w:lineRule="auto"/>
              <w:ind w:left="108" w:right="153" w:firstLine="5"/>
            </w:pPr>
            <w:r>
              <w:rPr>
                <w:spacing w:val="7"/>
              </w:rPr>
              <w:t>合保障人体</w:t>
            </w:r>
            <w:r>
              <w:rPr>
                <w:spacing w:val="8"/>
              </w:rPr>
              <w:t>健康和人</w:t>
            </w:r>
          </w:p>
          <w:p w14:paraId="77C3A550">
            <w:pPr>
              <w:pStyle w:val="6"/>
              <w:spacing w:line="226" w:lineRule="auto"/>
              <w:ind w:left="115"/>
            </w:pPr>
            <w:r>
              <w:rPr>
                <w:spacing w:val="7"/>
              </w:rPr>
              <w:t>身、财产安</w:t>
            </w:r>
          </w:p>
          <w:p w14:paraId="36B9AAEE">
            <w:pPr>
              <w:pStyle w:val="6"/>
              <w:spacing w:before="85" w:line="226" w:lineRule="auto"/>
              <w:ind w:left="110"/>
            </w:pPr>
            <w:r>
              <w:rPr>
                <w:spacing w:val="8"/>
              </w:rPr>
              <w:t>全的国家标</w:t>
            </w:r>
          </w:p>
          <w:p w14:paraId="5F5B8903">
            <w:pPr>
              <w:pStyle w:val="6"/>
              <w:spacing w:before="84" w:line="224" w:lineRule="auto"/>
              <w:ind w:left="115"/>
            </w:pPr>
            <w:r>
              <w:rPr>
                <w:spacing w:val="7"/>
              </w:rPr>
              <w:t>准、行业标</w:t>
            </w:r>
          </w:p>
          <w:p w14:paraId="2CF5C905">
            <w:pPr>
              <w:pStyle w:val="6"/>
              <w:spacing w:before="88" w:line="226" w:lineRule="auto"/>
              <w:ind w:left="115"/>
            </w:pPr>
            <w:r>
              <w:rPr>
                <w:spacing w:val="7"/>
              </w:rPr>
              <w:t>准的计量器</w:t>
            </w:r>
          </w:p>
          <w:p w14:paraId="248FA01A">
            <w:pPr>
              <w:pStyle w:val="6"/>
              <w:spacing w:before="87" w:line="226" w:lineRule="auto"/>
              <w:ind w:left="117"/>
            </w:pPr>
            <w:r>
              <w:rPr>
                <w:spacing w:val="6"/>
              </w:rPr>
              <w:t>具或者有其</w:t>
            </w:r>
          </w:p>
          <w:p w14:paraId="76F737D4">
            <w:pPr>
              <w:pStyle w:val="6"/>
              <w:spacing w:before="87" w:line="225" w:lineRule="auto"/>
              <w:ind w:left="108"/>
            </w:pPr>
            <w:r>
              <w:rPr>
                <w:spacing w:val="8"/>
              </w:rPr>
              <w:t>他严重质量</w:t>
            </w:r>
          </w:p>
          <w:p w14:paraId="7C3B71CF">
            <w:pPr>
              <w:pStyle w:val="6"/>
              <w:spacing w:before="87" w:line="226" w:lineRule="auto"/>
              <w:ind w:left="134"/>
            </w:pPr>
            <w:r>
              <w:rPr>
                <w:spacing w:val="3"/>
              </w:rPr>
              <w:t>问题的计量</w:t>
            </w:r>
          </w:p>
          <w:p w14:paraId="00082DD8">
            <w:pPr>
              <w:pStyle w:val="6"/>
              <w:spacing w:before="87" w:line="228" w:lineRule="auto"/>
              <w:ind w:left="108"/>
            </w:pPr>
            <w:r>
              <w:rPr>
                <w:spacing w:val="8"/>
              </w:rPr>
              <w:t>器具，予以</w:t>
            </w:r>
          </w:p>
          <w:p w14:paraId="0587055E">
            <w:pPr>
              <w:pStyle w:val="6"/>
              <w:spacing w:before="84" w:line="311" w:lineRule="auto"/>
              <w:ind w:left="115" w:right="153" w:hanging="4"/>
            </w:pPr>
            <w:r>
              <w:rPr>
                <w:spacing w:val="8"/>
              </w:rPr>
              <w:t>查封或者扣</w:t>
            </w:r>
            <w:r>
              <w:t>押</w:t>
            </w:r>
          </w:p>
        </w:tc>
        <w:tc>
          <w:tcPr>
            <w:tcW w:w="3307" w:type="dxa"/>
            <w:vMerge w:val="restart"/>
            <w:tcBorders>
              <w:bottom w:val="nil"/>
            </w:tcBorders>
            <w:vAlign w:val="top"/>
          </w:tcPr>
          <w:p w14:paraId="062DB177">
            <w:pPr>
              <w:pStyle w:val="6"/>
              <w:spacing w:before="61" w:line="226" w:lineRule="auto"/>
              <w:ind w:left="509"/>
            </w:pPr>
            <w:r>
              <w:rPr>
                <w:spacing w:val="9"/>
              </w:rPr>
              <w:t>《河南省计量监督管理条例》</w:t>
            </w:r>
          </w:p>
          <w:p w14:paraId="13EF4113">
            <w:pPr>
              <w:pStyle w:val="6"/>
              <w:spacing w:before="88" w:line="310" w:lineRule="auto"/>
              <w:ind w:left="108" w:right="103" w:firstLine="45"/>
              <w:jc w:val="both"/>
            </w:pPr>
            <w:r>
              <w:rPr>
                <w:spacing w:val="-2"/>
              </w:rPr>
              <w:t>(2000</w:t>
            </w:r>
            <w:r>
              <w:rPr>
                <w:spacing w:val="-20"/>
              </w:rPr>
              <w:t xml:space="preserve"> </w:t>
            </w:r>
            <w:r>
              <w:rPr>
                <w:spacing w:val="-2"/>
              </w:rPr>
              <w:t>年</w:t>
            </w:r>
            <w:r>
              <w:rPr>
                <w:spacing w:val="-26"/>
              </w:rPr>
              <w:t xml:space="preserve"> </w:t>
            </w:r>
            <w:r>
              <w:rPr>
                <w:spacing w:val="-2"/>
              </w:rPr>
              <w:t>5</w:t>
            </w:r>
            <w:r>
              <w:rPr>
                <w:spacing w:val="-26"/>
              </w:rPr>
              <w:t xml:space="preserve"> </w:t>
            </w:r>
            <w:r>
              <w:rPr>
                <w:spacing w:val="-2"/>
              </w:rPr>
              <w:t>月</w:t>
            </w:r>
            <w:r>
              <w:rPr>
                <w:spacing w:val="-29"/>
              </w:rPr>
              <w:t xml:space="preserve"> </w:t>
            </w:r>
            <w:r>
              <w:rPr>
                <w:spacing w:val="-2"/>
              </w:rPr>
              <w:t>27 日河南省第九届人</w:t>
            </w:r>
            <w:r>
              <w:rPr>
                <w:spacing w:val="9"/>
              </w:rPr>
              <w:t>民代表大会常务委员会第十六次会</w:t>
            </w:r>
            <w:r>
              <w:rPr>
                <w:spacing w:val="-1"/>
              </w:rPr>
              <w:t>议通过根据</w:t>
            </w:r>
            <w:r>
              <w:rPr>
                <w:spacing w:val="-23"/>
              </w:rPr>
              <w:t xml:space="preserve"> </w:t>
            </w:r>
            <w:r>
              <w:rPr>
                <w:spacing w:val="-1"/>
              </w:rPr>
              <w:t>2005</w:t>
            </w:r>
            <w:r>
              <w:rPr>
                <w:spacing w:val="-33"/>
              </w:rPr>
              <w:t xml:space="preserve"> </w:t>
            </w:r>
            <w:r>
              <w:rPr>
                <w:spacing w:val="-1"/>
              </w:rPr>
              <w:t>年</w:t>
            </w:r>
            <w:r>
              <w:rPr>
                <w:spacing w:val="-21"/>
              </w:rPr>
              <w:t xml:space="preserve"> </w:t>
            </w:r>
            <w:r>
              <w:rPr>
                <w:spacing w:val="-1"/>
              </w:rPr>
              <w:t>3</w:t>
            </w:r>
            <w:r>
              <w:rPr>
                <w:spacing w:val="-26"/>
              </w:rPr>
              <w:t xml:space="preserve"> </w:t>
            </w:r>
            <w:r>
              <w:rPr>
                <w:spacing w:val="-1"/>
              </w:rPr>
              <w:t>月</w:t>
            </w:r>
            <w:r>
              <w:rPr>
                <w:spacing w:val="-21"/>
              </w:rPr>
              <w:t xml:space="preserve"> </w:t>
            </w:r>
            <w:r>
              <w:rPr>
                <w:spacing w:val="-1"/>
              </w:rPr>
              <w:t>31</w:t>
            </w:r>
            <w:r>
              <w:rPr>
                <w:spacing w:val="50"/>
              </w:rPr>
              <w:t xml:space="preserve"> </w:t>
            </w:r>
            <w:r>
              <w:rPr>
                <w:spacing w:val="-1"/>
              </w:rPr>
              <w:t>日河南</w:t>
            </w:r>
            <w:r>
              <w:rPr>
                <w:spacing w:val="9"/>
              </w:rPr>
              <w:t>省第十届人民代表大会常务委员会</w:t>
            </w:r>
            <w:r>
              <w:rPr>
                <w:spacing w:val="8"/>
              </w:rPr>
              <w:t>第十五次会议《关于修改&lt;河南省计</w:t>
            </w:r>
            <w:r>
              <w:rPr>
                <w:spacing w:val="4"/>
              </w:rPr>
              <w:t>量监督管理条例&gt;的决定》、2012</w:t>
            </w:r>
            <w:r>
              <w:rPr>
                <w:spacing w:val="-27"/>
              </w:rPr>
              <w:t xml:space="preserve"> </w:t>
            </w:r>
            <w:r>
              <w:rPr>
                <w:spacing w:val="4"/>
              </w:rPr>
              <w:t>年</w:t>
            </w:r>
            <w:r>
              <w:rPr>
                <w:spacing w:val="6"/>
              </w:rPr>
              <w:t>11</w:t>
            </w:r>
            <w:r>
              <w:rPr>
                <w:spacing w:val="-37"/>
              </w:rPr>
              <w:t xml:space="preserve"> </w:t>
            </w:r>
            <w:r>
              <w:rPr>
                <w:spacing w:val="6"/>
              </w:rPr>
              <w:t>月29</w:t>
            </w:r>
            <w:r>
              <w:rPr>
                <w:spacing w:val="-20"/>
              </w:rPr>
              <w:t xml:space="preserve"> </w:t>
            </w:r>
            <w:r>
              <w:rPr>
                <w:spacing w:val="6"/>
              </w:rPr>
              <w:t>日河南省第十一届人民代表</w:t>
            </w:r>
            <w:r>
              <w:rPr>
                <w:spacing w:val="9"/>
              </w:rPr>
              <w:t>大会常务委员会第三十次会议《关于修改部分地方性法规的决定》修</w:t>
            </w:r>
            <w:r>
              <w:rPr>
                <w:spacing w:val="6"/>
              </w:rPr>
              <w:t>改)第三十五条：</w:t>
            </w:r>
            <w:r>
              <w:rPr>
                <w:spacing w:val="-51"/>
              </w:rPr>
              <w:t xml:space="preserve"> </w:t>
            </w:r>
            <w:r>
              <w:rPr>
                <w:spacing w:val="6"/>
              </w:rPr>
              <w:t>“计量行政主管部</w:t>
            </w:r>
            <w:r>
              <w:rPr>
                <w:spacing w:val="9"/>
              </w:rPr>
              <w:t>门在进行计量监督检查时，有权采</w:t>
            </w:r>
            <w:r>
              <w:rPr>
                <w:spacing w:val="5"/>
              </w:rPr>
              <w:t>取下列措施：</w:t>
            </w:r>
            <w:r>
              <w:rPr>
                <w:spacing w:val="-30"/>
              </w:rPr>
              <w:t xml:space="preserve"> </w:t>
            </w:r>
            <w:r>
              <w:rPr>
                <w:spacing w:val="5"/>
              </w:rPr>
              <w:t>(五)县级以上质量技</w:t>
            </w:r>
            <w:r>
              <w:rPr>
                <w:spacing w:val="9"/>
              </w:rPr>
              <w:t>术监督部门，有权对有根据认为不符合保障人体健康和人身、财产安全的国家标准、行业标准的计量器具或者有其他严重质量问题的计量</w:t>
            </w:r>
            <w:r>
              <w:rPr>
                <w:spacing w:val="13"/>
              </w:rPr>
              <w:t>器具，依法予以查封或者扣押。</w:t>
            </w:r>
            <w:r>
              <w:rPr>
                <w:spacing w:val="-51"/>
              </w:rPr>
              <w:t xml:space="preserve"> </w:t>
            </w:r>
            <w:r>
              <w:rPr>
                <w:spacing w:val="13"/>
              </w:rPr>
              <w:t>”</w:t>
            </w:r>
          </w:p>
        </w:tc>
        <w:tc>
          <w:tcPr>
            <w:tcW w:w="6193" w:type="dxa"/>
            <w:vAlign w:val="top"/>
          </w:tcPr>
          <w:p w14:paraId="2CC776C8">
            <w:pPr>
              <w:spacing w:line="276" w:lineRule="auto"/>
              <w:rPr>
                <w:rFonts w:ascii="Arial"/>
                <w:sz w:val="21"/>
              </w:rPr>
            </w:pPr>
          </w:p>
          <w:p w14:paraId="49494D6D">
            <w:pPr>
              <w:pStyle w:val="6"/>
              <w:spacing w:before="62" w:line="224" w:lineRule="auto"/>
              <w:ind w:left="124"/>
            </w:pPr>
            <w:r>
              <w:rPr>
                <w:spacing w:val="8"/>
              </w:rPr>
              <w:t>1、核实违法事实，报行政机关负责人批准。</w:t>
            </w:r>
          </w:p>
        </w:tc>
        <w:tc>
          <w:tcPr>
            <w:tcW w:w="3768" w:type="dxa"/>
            <w:vMerge w:val="restart"/>
            <w:tcBorders>
              <w:bottom w:val="nil"/>
            </w:tcBorders>
            <w:vAlign w:val="top"/>
          </w:tcPr>
          <w:p w14:paraId="7B62B618">
            <w:pPr>
              <w:spacing w:line="241" w:lineRule="auto"/>
              <w:rPr>
                <w:rFonts w:ascii="Arial"/>
                <w:sz w:val="21"/>
              </w:rPr>
            </w:pPr>
          </w:p>
          <w:p w14:paraId="7D6B08A5">
            <w:pPr>
              <w:spacing w:line="241" w:lineRule="auto"/>
              <w:rPr>
                <w:rFonts w:ascii="Arial"/>
                <w:sz w:val="21"/>
              </w:rPr>
            </w:pPr>
          </w:p>
          <w:p w14:paraId="1E9899AB">
            <w:pPr>
              <w:spacing w:line="241" w:lineRule="auto"/>
              <w:rPr>
                <w:rFonts w:ascii="Arial"/>
                <w:sz w:val="21"/>
              </w:rPr>
            </w:pPr>
          </w:p>
          <w:p w14:paraId="6FC9C5FD">
            <w:pPr>
              <w:spacing w:line="241" w:lineRule="auto"/>
              <w:rPr>
                <w:rFonts w:ascii="Arial"/>
                <w:sz w:val="21"/>
              </w:rPr>
            </w:pPr>
          </w:p>
          <w:p w14:paraId="6CBB1B37">
            <w:pPr>
              <w:spacing w:line="242" w:lineRule="auto"/>
              <w:rPr>
                <w:rFonts w:ascii="Arial"/>
                <w:sz w:val="21"/>
              </w:rPr>
            </w:pPr>
          </w:p>
          <w:p w14:paraId="6BF2144B">
            <w:pPr>
              <w:spacing w:line="242" w:lineRule="auto"/>
              <w:rPr>
                <w:rFonts w:ascii="Arial"/>
                <w:sz w:val="21"/>
              </w:rPr>
            </w:pPr>
          </w:p>
          <w:p w14:paraId="0C47FE4F">
            <w:pPr>
              <w:spacing w:line="242" w:lineRule="auto"/>
              <w:rPr>
                <w:rFonts w:ascii="Arial"/>
                <w:sz w:val="21"/>
              </w:rPr>
            </w:pPr>
          </w:p>
          <w:p w14:paraId="72C2E170">
            <w:pPr>
              <w:spacing w:line="242" w:lineRule="auto"/>
              <w:rPr>
                <w:rFonts w:ascii="Arial"/>
                <w:sz w:val="21"/>
              </w:rPr>
            </w:pPr>
          </w:p>
          <w:p w14:paraId="47BD723D">
            <w:pPr>
              <w:spacing w:line="242" w:lineRule="auto"/>
              <w:rPr>
                <w:rFonts w:ascii="Arial"/>
                <w:sz w:val="21"/>
              </w:rPr>
            </w:pPr>
          </w:p>
          <w:p w14:paraId="61492921">
            <w:pPr>
              <w:spacing w:line="242" w:lineRule="auto"/>
              <w:rPr>
                <w:rFonts w:ascii="Arial"/>
                <w:sz w:val="21"/>
              </w:rPr>
            </w:pPr>
          </w:p>
          <w:p w14:paraId="4E9DA82B">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6F8EF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724" w:type="dxa"/>
            <w:vMerge w:val="continue"/>
            <w:tcBorders>
              <w:top w:val="nil"/>
              <w:bottom w:val="nil"/>
            </w:tcBorders>
            <w:textDirection w:val="tbRlV"/>
            <w:vAlign w:val="top"/>
          </w:tcPr>
          <w:p w14:paraId="2DAAE3A0">
            <w:pPr>
              <w:rPr>
                <w:rFonts w:ascii="Arial"/>
                <w:sz w:val="21"/>
              </w:rPr>
            </w:pPr>
          </w:p>
        </w:tc>
        <w:tc>
          <w:tcPr>
            <w:tcW w:w="1260" w:type="dxa"/>
            <w:vMerge w:val="continue"/>
            <w:tcBorders>
              <w:top w:val="nil"/>
              <w:bottom w:val="nil"/>
            </w:tcBorders>
            <w:vAlign w:val="top"/>
          </w:tcPr>
          <w:p w14:paraId="65BAA21D">
            <w:pPr>
              <w:rPr>
                <w:rFonts w:ascii="Arial"/>
                <w:sz w:val="21"/>
              </w:rPr>
            </w:pPr>
          </w:p>
        </w:tc>
        <w:tc>
          <w:tcPr>
            <w:tcW w:w="3307" w:type="dxa"/>
            <w:vMerge w:val="continue"/>
            <w:tcBorders>
              <w:top w:val="nil"/>
              <w:bottom w:val="nil"/>
            </w:tcBorders>
            <w:vAlign w:val="top"/>
          </w:tcPr>
          <w:p w14:paraId="18A2BECC">
            <w:pPr>
              <w:rPr>
                <w:rFonts w:ascii="Arial"/>
                <w:sz w:val="21"/>
              </w:rPr>
            </w:pPr>
          </w:p>
        </w:tc>
        <w:tc>
          <w:tcPr>
            <w:tcW w:w="6193" w:type="dxa"/>
            <w:vAlign w:val="top"/>
          </w:tcPr>
          <w:p w14:paraId="29FB61AE">
            <w:pPr>
              <w:spacing w:line="268" w:lineRule="auto"/>
              <w:rPr>
                <w:rFonts w:ascii="Arial"/>
                <w:sz w:val="21"/>
              </w:rPr>
            </w:pPr>
          </w:p>
          <w:p w14:paraId="78423E02">
            <w:pPr>
              <w:pStyle w:val="6"/>
              <w:spacing w:before="62" w:line="224" w:lineRule="auto"/>
              <w:ind w:left="119"/>
            </w:pPr>
            <w:r>
              <w:rPr>
                <w:spacing w:val="7"/>
              </w:rPr>
              <w:t>2、依法作出处理决定。</w:t>
            </w:r>
          </w:p>
        </w:tc>
        <w:tc>
          <w:tcPr>
            <w:tcW w:w="3768" w:type="dxa"/>
            <w:vMerge w:val="continue"/>
            <w:tcBorders>
              <w:top w:val="nil"/>
              <w:bottom w:val="nil"/>
            </w:tcBorders>
            <w:vAlign w:val="top"/>
          </w:tcPr>
          <w:p w14:paraId="5287546B">
            <w:pPr>
              <w:rPr>
                <w:rFonts w:ascii="Arial"/>
                <w:sz w:val="21"/>
              </w:rPr>
            </w:pPr>
          </w:p>
        </w:tc>
      </w:tr>
      <w:tr w14:paraId="1CD97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7" w:hRule="atLeast"/>
        </w:trPr>
        <w:tc>
          <w:tcPr>
            <w:tcW w:w="724" w:type="dxa"/>
            <w:vMerge w:val="continue"/>
            <w:tcBorders>
              <w:top w:val="nil"/>
              <w:bottom w:val="nil"/>
            </w:tcBorders>
            <w:textDirection w:val="tbRlV"/>
            <w:vAlign w:val="top"/>
          </w:tcPr>
          <w:p w14:paraId="75692DAC">
            <w:pPr>
              <w:rPr>
                <w:rFonts w:ascii="Arial"/>
                <w:sz w:val="21"/>
              </w:rPr>
            </w:pPr>
          </w:p>
        </w:tc>
        <w:tc>
          <w:tcPr>
            <w:tcW w:w="1260" w:type="dxa"/>
            <w:vMerge w:val="continue"/>
            <w:tcBorders>
              <w:top w:val="nil"/>
              <w:bottom w:val="nil"/>
            </w:tcBorders>
            <w:vAlign w:val="top"/>
          </w:tcPr>
          <w:p w14:paraId="659E3A9C">
            <w:pPr>
              <w:rPr>
                <w:rFonts w:ascii="Arial"/>
                <w:sz w:val="21"/>
              </w:rPr>
            </w:pPr>
          </w:p>
        </w:tc>
        <w:tc>
          <w:tcPr>
            <w:tcW w:w="3307" w:type="dxa"/>
            <w:vMerge w:val="continue"/>
            <w:tcBorders>
              <w:top w:val="nil"/>
              <w:bottom w:val="nil"/>
            </w:tcBorders>
            <w:vAlign w:val="top"/>
          </w:tcPr>
          <w:p w14:paraId="5EC989AF">
            <w:pPr>
              <w:rPr>
                <w:rFonts w:ascii="Arial"/>
                <w:sz w:val="21"/>
              </w:rPr>
            </w:pPr>
          </w:p>
        </w:tc>
        <w:tc>
          <w:tcPr>
            <w:tcW w:w="6193" w:type="dxa"/>
            <w:vAlign w:val="top"/>
          </w:tcPr>
          <w:p w14:paraId="198E278C">
            <w:pPr>
              <w:pStyle w:val="6"/>
              <w:spacing w:before="280"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429EF8AB">
            <w:pPr>
              <w:rPr>
                <w:rFonts w:ascii="Arial"/>
                <w:sz w:val="21"/>
              </w:rPr>
            </w:pPr>
          </w:p>
        </w:tc>
      </w:tr>
      <w:tr w14:paraId="31009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4B07C25F">
            <w:pPr>
              <w:rPr>
                <w:rFonts w:ascii="Arial"/>
                <w:sz w:val="21"/>
              </w:rPr>
            </w:pPr>
          </w:p>
        </w:tc>
        <w:tc>
          <w:tcPr>
            <w:tcW w:w="1260" w:type="dxa"/>
            <w:vMerge w:val="continue"/>
            <w:tcBorders>
              <w:top w:val="nil"/>
              <w:bottom w:val="nil"/>
            </w:tcBorders>
            <w:vAlign w:val="top"/>
          </w:tcPr>
          <w:p w14:paraId="29BE8446">
            <w:pPr>
              <w:rPr>
                <w:rFonts w:ascii="Arial"/>
                <w:sz w:val="21"/>
              </w:rPr>
            </w:pPr>
          </w:p>
        </w:tc>
        <w:tc>
          <w:tcPr>
            <w:tcW w:w="3307" w:type="dxa"/>
            <w:vMerge w:val="continue"/>
            <w:tcBorders>
              <w:top w:val="nil"/>
              <w:bottom w:val="nil"/>
            </w:tcBorders>
            <w:vAlign w:val="top"/>
          </w:tcPr>
          <w:p w14:paraId="43D8F431">
            <w:pPr>
              <w:rPr>
                <w:rFonts w:ascii="Arial"/>
                <w:sz w:val="21"/>
              </w:rPr>
            </w:pPr>
          </w:p>
        </w:tc>
        <w:tc>
          <w:tcPr>
            <w:tcW w:w="6193" w:type="dxa"/>
            <w:vAlign w:val="top"/>
          </w:tcPr>
          <w:p w14:paraId="35575CA3">
            <w:pPr>
              <w:pStyle w:val="6"/>
              <w:spacing w:before="64"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0568EBF8">
            <w:pPr>
              <w:rPr>
                <w:rFonts w:ascii="Arial"/>
                <w:sz w:val="21"/>
              </w:rPr>
            </w:pPr>
          </w:p>
        </w:tc>
      </w:tr>
      <w:tr w14:paraId="7CDE8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724" w:type="dxa"/>
            <w:vMerge w:val="continue"/>
            <w:tcBorders>
              <w:top w:val="nil"/>
            </w:tcBorders>
            <w:textDirection w:val="tbRlV"/>
            <w:vAlign w:val="top"/>
          </w:tcPr>
          <w:p w14:paraId="77111275">
            <w:pPr>
              <w:rPr>
                <w:rFonts w:ascii="Arial"/>
                <w:sz w:val="21"/>
              </w:rPr>
            </w:pPr>
          </w:p>
        </w:tc>
        <w:tc>
          <w:tcPr>
            <w:tcW w:w="1260" w:type="dxa"/>
            <w:vMerge w:val="continue"/>
            <w:tcBorders>
              <w:top w:val="nil"/>
            </w:tcBorders>
            <w:vAlign w:val="top"/>
          </w:tcPr>
          <w:p w14:paraId="50B4F34C">
            <w:pPr>
              <w:rPr>
                <w:rFonts w:ascii="Arial"/>
                <w:sz w:val="21"/>
              </w:rPr>
            </w:pPr>
          </w:p>
        </w:tc>
        <w:tc>
          <w:tcPr>
            <w:tcW w:w="3307" w:type="dxa"/>
            <w:vMerge w:val="continue"/>
            <w:tcBorders>
              <w:top w:val="nil"/>
            </w:tcBorders>
            <w:vAlign w:val="top"/>
          </w:tcPr>
          <w:p w14:paraId="2940282D">
            <w:pPr>
              <w:rPr>
                <w:rFonts w:ascii="Arial"/>
                <w:sz w:val="21"/>
              </w:rPr>
            </w:pPr>
          </w:p>
        </w:tc>
        <w:tc>
          <w:tcPr>
            <w:tcW w:w="6193" w:type="dxa"/>
            <w:vAlign w:val="top"/>
          </w:tcPr>
          <w:p w14:paraId="73802DFA">
            <w:pPr>
              <w:spacing w:line="471" w:lineRule="auto"/>
              <w:rPr>
                <w:rFonts w:ascii="Arial"/>
                <w:sz w:val="21"/>
              </w:rPr>
            </w:pPr>
          </w:p>
          <w:p w14:paraId="4C331855">
            <w:pPr>
              <w:pStyle w:val="6"/>
              <w:spacing w:before="61" w:line="224" w:lineRule="auto"/>
              <w:ind w:left="121"/>
            </w:pPr>
            <w:r>
              <w:rPr>
                <w:spacing w:val="8"/>
              </w:rPr>
              <w:t>5、其他法律法规规章规定应履行的责任。</w:t>
            </w:r>
          </w:p>
        </w:tc>
        <w:tc>
          <w:tcPr>
            <w:tcW w:w="3768" w:type="dxa"/>
            <w:vMerge w:val="continue"/>
            <w:tcBorders>
              <w:top w:val="nil"/>
            </w:tcBorders>
            <w:vAlign w:val="top"/>
          </w:tcPr>
          <w:p w14:paraId="47E41C99">
            <w:pPr>
              <w:rPr>
                <w:rFonts w:ascii="Arial"/>
                <w:sz w:val="21"/>
              </w:rPr>
            </w:pPr>
          </w:p>
        </w:tc>
      </w:tr>
      <w:tr w14:paraId="5C6CC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2A2D6CFA">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C3CDC40">
      <w:pPr>
        <w:pStyle w:val="2"/>
      </w:pPr>
    </w:p>
    <w:p w14:paraId="067AD6A7">
      <w:pPr>
        <w:sectPr>
          <w:footerReference r:id="rId31" w:type="default"/>
          <w:pgSz w:w="16839" w:h="11906"/>
          <w:pgMar w:top="1012" w:right="685" w:bottom="1213" w:left="895" w:header="0" w:footer="937" w:gutter="0"/>
          <w:cols w:space="720" w:num="1"/>
        </w:sectPr>
      </w:pPr>
    </w:p>
    <w:p w14:paraId="1A0A3416">
      <w:pPr>
        <w:spacing w:before="45"/>
      </w:pPr>
    </w:p>
    <w:p w14:paraId="381632C5">
      <w:pPr>
        <w:spacing w:before="44"/>
      </w:pPr>
    </w:p>
    <w:p w14:paraId="6D890DAA">
      <w:pPr>
        <w:spacing w:before="44"/>
      </w:pPr>
    </w:p>
    <w:p w14:paraId="3B21F08F">
      <w:pPr>
        <w:spacing w:before="44"/>
      </w:pPr>
    </w:p>
    <w:p w14:paraId="6EAEAF86">
      <w:pPr>
        <w:spacing w:before="44"/>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3307"/>
        <w:gridCol w:w="6193"/>
        <w:gridCol w:w="3768"/>
      </w:tblGrid>
      <w:tr w14:paraId="4F961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414B0BC3">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342CA94E">
            <w:pPr>
              <w:spacing w:before="32"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1C4692E9">
            <w:pPr>
              <w:spacing w:before="188"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3307" w:type="dxa"/>
            <w:vAlign w:val="top"/>
          </w:tcPr>
          <w:p w14:paraId="561C1314">
            <w:pPr>
              <w:spacing w:before="187" w:line="228" w:lineRule="auto"/>
              <w:ind w:left="1240"/>
              <w:rPr>
                <w:rFonts w:ascii="宋体" w:hAnsi="宋体" w:eastAsia="宋体" w:cs="宋体"/>
                <w:sz w:val="20"/>
                <w:szCs w:val="20"/>
              </w:rPr>
            </w:pPr>
            <w:r>
              <w:rPr>
                <w:rFonts w:ascii="宋体" w:hAnsi="宋体" w:eastAsia="宋体" w:cs="宋体"/>
                <w:b/>
                <w:bCs/>
                <w:spacing w:val="5"/>
                <w:sz w:val="20"/>
                <w:szCs w:val="20"/>
              </w:rPr>
              <w:t>实施依据</w:t>
            </w:r>
          </w:p>
        </w:tc>
        <w:tc>
          <w:tcPr>
            <w:tcW w:w="6193" w:type="dxa"/>
            <w:vAlign w:val="top"/>
          </w:tcPr>
          <w:p w14:paraId="727EA435">
            <w:pPr>
              <w:spacing w:before="188" w:line="228" w:lineRule="auto"/>
              <w:ind w:left="2109"/>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1904BF7A">
            <w:pPr>
              <w:spacing w:before="188"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35D2C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724" w:type="dxa"/>
            <w:vMerge w:val="restart"/>
            <w:tcBorders>
              <w:bottom w:val="nil"/>
            </w:tcBorders>
            <w:textDirection w:val="tbRlV"/>
            <w:vAlign w:val="top"/>
          </w:tcPr>
          <w:p w14:paraId="3AA215DA">
            <w:pPr>
              <w:pStyle w:val="6"/>
              <w:spacing w:before="255" w:line="213" w:lineRule="auto"/>
              <w:ind w:left="1974"/>
              <w:rPr>
                <w:sz w:val="20"/>
                <w:szCs w:val="20"/>
              </w:rPr>
            </w:pPr>
            <w:r>
              <w:rPr>
                <w:spacing w:val="7"/>
                <w:sz w:val="20"/>
                <w:szCs w:val="20"/>
              </w:rPr>
              <w:t>行</w:t>
            </w:r>
            <w:r>
              <w:rPr>
                <w:spacing w:val="-24"/>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30"/>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3A77AD70">
            <w:pPr>
              <w:spacing w:line="261" w:lineRule="auto"/>
              <w:rPr>
                <w:rFonts w:ascii="Arial"/>
                <w:sz w:val="21"/>
              </w:rPr>
            </w:pPr>
          </w:p>
          <w:p w14:paraId="6876D2ED">
            <w:pPr>
              <w:spacing w:line="261" w:lineRule="auto"/>
              <w:rPr>
                <w:rFonts w:ascii="Arial"/>
                <w:sz w:val="21"/>
              </w:rPr>
            </w:pPr>
          </w:p>
          <w:p w14:paraId="26176E52">
            <w:pPr>
              <w:spacing w:line="262" w:lineRule="auto"/>
              <w:rPr>
                <w:rFonts w:ascii="Arial"/>
                <w:sz w:val="21"/>
              </w:rPr>
            </w:pPr>
          </w:p>
          <w:p w14:paraId="170FE53B">
            <w:pPr>
              <w:spacing w:line="262" w:lineRule="auto"/>
              <w:rPr>
                <w:rFonts w:ascii="Arial"/>
                <w:sz w:val="21"/>
              </w:rPr>
            </w:pPr>
          </w:p>
          <w:p w14:paraId="2361C452">
            <w:pPr>
              <w:pStyle w:val="6"/>
              <w:spacing w:before="62" w:line="310" w:lineRule="auto"/>
              <w:ind w:left="106" w:right="50" w:firstLine="13"/>
            </w:pPr>
            <w:r>
              <w:rPr>
                <w:spacing w:val="4"/>
              </w:rPr>
              <w:t>28.对有严</w:t>
            </w:r>
            <w:r>
              <w:rPr>
                <w:spacing w:val="1"/>
              </w:rPr>
              <w:t xml:space="preserve"> </w:t>
            </w:r>
            <w:r>
              <w:rPr>
                <w:spacing w:val="9"/>
              </w:rPr>
              <w:t>重质量问题</w:t>
            </w:r>
            <w:r>
              <w:rPr>
                <w:spacing w:val="-7"/>
              </w:rPr>
              <w:t>的棉花、毛、</w:t>
            </w:r>
            <w:r>
              <w:rPr>
                <w:spacing w:val="12"/>
              </w:rPr>
              <w:t>绒、茧丝、</w:t>
            </w:r>
            <w:r>
              <w:rPr>
                <w:spacing w:val="9"/>
              </w:rPr>
              <w:t>麻类纤维以及生产设</w:t>
            </w:r>
          </w:p>
          <w:p w14:paraId="5C8C1281">
            <w:pPr>
              <w:pStyle w:val="6"/>
              <w:spacing w:before="1" w:line="310" w:lineRule="auto"/>
              <w:ind w:left="116" w:right="153" w:hanging="3"/>
            </w:pPr>
            <w:r>
              <w:rPr>
                <w:spacing w:val="7"/>
              </w:rPr>
              <w:t>备、工具予</w:t>
            </w:r>
            <w:r>
              <w:rPr>
                <w:spacing w:val="6"/>
              </w:rPr>
              <w:t>以查封或者</w:t>
            </w:r>
            <w:r>
              <w:rPr>
                <w:spacing w:val="2"/>
              </w:rPr>
              <w:t>扣押</w:t>
            </w:r>
          </w:p>
        </w:tc>
        <w:tc>
          <w:tcPr>
            <w:tcW w:w="3307" w:type="dxa"/>
            <w:vMerge w:val="restart"/>
            <w:tcBorders>
              <w:bottom w:val="nil"/>
            </w:tcBorders>
            <w:vAlign w:val="top"/>
          </w:tcPr>
          <w:p w14:paraId="28034BBD">
            <w:pPr>
              <w:spacing w:line="253" w:lineRule="auto"/>
              <w:rPr>
                <w:rFonts w:ascii="Arial"/>
                <w:sz w:val="21"/>
              </w:rPr>
            </w:pPr>
          </w:p>
          <w:p w14:paraId="758EE43F">
            <w:pPr>
              <w:pStyle w:val="6"/>
              <w:spacing w:before="62" w:line="310" w:lineRule="auto"/>
              <w:ind w:left="115" w:right="107" w:firstLine="388"/>
            </w:pPr>
            <w:r>
              <w:rPr>
                <w:spacing w:val="4"/>
              </w:rPr>
              <w:t>《棉花质量监督管理条例》</w:t>
            </w:r>
            <w:r>
              <w:rPr>
                <w:spacing w:val="-27"/>
              </w:rPr>
              <w:t xml:space="preserve"> </w:t>
            </w:r>
            <w:r>
              <w:rPr>
                <w:spacing w:val="4"/>
              </w:rPr>
              <w:t>(国</w:t>
            </w:r>
            <w:r>
              <w:rPr>
                <w:spacing w:val="5"/>
              </w:rPr>
              <w:t>务院令第</w:t>
            </w:r>
            <w:r>
              <w:rPr>
                <w:spacing w:val="-20"/>
              </w:rPr>
              <w:t xml:space="preserve"> </w:t>
            </w:r>
            <w:r>
              <w:rPr>
                <w:spacing w:val="5"/>
              </w:rPr>
              <w:t>470</w:t>
            </w:r>
            <w:r>
              <w:rPr>
                <w:spacing w:val="-29"/>
              </w:rPr>
              <w:t xml:space="preserve"> </w:t>
            </w:r>
            <w:r>
              <w:rPr>
                <w:spacing w:val="5"/>
              </w:rPr>
              <w:t>号)第二十条第四项：</w:t>
            </w:r>
            <w:r>
              <w:t xml:space="preserve"> </w:t>
            </w:r>
            <w:r>
              <w:rPr>
                <w:spacing w:val="9"/>
              </w:rPr>
              <w:t>“棉花质量监督机构在实施棉花质量监督检查过程中，根据违法嫌疑证据或者举报，对涉嫌违反本条例规定的行为进行查处时，可以行使</w:t>
            </w:r>
            <w:r>
              <w:rPr>
                <w:spacing w:val="3"/>
              </w:rPr>
              <w:t>下列职权：</w:t>
            </w:r>
            <w:r>
              <w:rPr>
                <w:spacing w:val="-18"/>
              </w:rPr>
              <w:t xml:space="preserve"> </w:t>
            </w:r>
            <w:r>
              <w:rPr>
                <w:spacing w:val="3"/>
              </w:rPr>
              <w:t>(四)对涉嫌掺杂掺假、</w:t>
            </w:r>
          </w:p>
          <w:p w14:paraId="7E4C0AB5">
            <w:pPr>
              <w:pStyle w:val="6"/>
              <w:spacing w:before="2" w:line="310" w:lineRule="auto"/>
              <w:ind w:left="111" w:right="198" w:firstLine="27"/>
            </w:pPr>
            <w:r>
              <w:rPr>
                <w:spacing w:val="4"/>
              </w:rPr>
              <w:t>以次充好、</w:t>
            </w:r>
            <w:r>
              <w:rPr>
                <w:spacing w:val="-42"/>
              </w:rPr>
              <w:t xml:space="preserve"> </w:t>
            </w:r>
            <w:r>
              <w:rPr>
                <w:spacing w:val="4"/>
              </w:rPr>
              <w:t>以假充真或者其他有严</w:t>
            </w:r>
            <w:r>
              <w:rPr>
                <w:spacing w:val="9"/>
              </w:rPr>
              <w:t>重质量问题的棉花以及专门用于生</w:t>
            </w:r>
            <w:r>
              <w:rPr>
                <w:spacing w:val="3"/>
              </w:rPr>
              <w:t>产掺杂掺假、</w:t>
            </w:r>
            <w:r>
              <w:rPr>
                <w:spacing w:val="-48"/>
              </w:rPr>
              <w:t xml:space="preserve"> </w:t>
            </w:r>
            <w:r>
              <w:rPr>
                <w:spacing w:val="3"/>
              </w:rPr>
              <w:t>以次充好、</w:t>
            </w:r>
            <w:r>
              <w:rPr>
                <w:spacing w:val="-47"/>
              </w:rPr>
              <w:t xml:space="preserve"> </w:t>
            </w:r>
            <w:r>
              <w:rPr>
                <w:spacing w:val="3"/>
              </w:rPr>
              <w:t>以假充真</w:t>
            </w:r>
            <w:r>
              <w:rPr>
                <w:spacing w:val="9"/>
              </w:rPr>
              <w:t>的棉花的设备、工具予以查封或者</w:t>
            </w:r>
            <w:r>
              <w:rPr>
                <w:spacing w:val="4"/>
              </w:rPr>
              <w:t>扣押。</w:t>
            </w:r>
            <w:r>
              <w:rPr>
                <w:spacing w:val="-62"/>
              </w:rPr>
              <w:t xml:space="preserve"> </w:t>
            </w:r>
            <w:r>
              <w:rPr>
                <w:spacing w:val="4"/>
              </w:rPr>
              <w:t>”第三十八条：</w:t>
            </w:r>
            <w:r>
              <w:rPr>
                <w:spacing w:val="-47"/>
              </w:rPr>
              <w:t xml:space="preserve"> </w:t>
            </w:r>
            <w:r>
              <w:rPr>
                <w:spacing w:val="4"/>
              </w:rPr>
              <w:t>“毛、绒、</w:t>
            </w:r>
            <w:r>
              <w:rPr>
                <w:spacing w:val="9"/>
              </w:rPr>
              <w:t>茧丝、麻类纤维的质量监督管理比</w:t>
            </w:r>
            <w:r>
              <w:rPr>
                <w:spacing w:val="16"/>
              </w:rPr>
              <w:t>照本条例执行。</w:t>
            </w:r>
            <w:r>
              <w:rPr>
                <w:spacing w:val="-59"/>
              </w:rPr>
              <w:t xml:space="preserve"> </w:t>
            </w:r>
            <w:r>
              <w:rPr>
                <w:spacing w:val="16"/>
              </w:rPr>
              <w:t>”</w:t>
            </w:r>
          </w:p>
        </w:tc>
        <w:tc>
          <w:tcPr>
            <w:tcW w:w="6193" w:type="dxa"/>
            <w:vAlign w:val="top"/>
          </w:tcPr>
          <w:p w14:paraId="5B4572F2">
            <w:pPr>
              <w:spacing w:line="309" w:lineRule="auto"/>
              <w:rPr>
                <w:rFonts w:ascii="Arial"/>
                <w:sz w:val="21"/>
              </w:rPr>
            </w:pPr>
          </w:p>
          <w:p w14:paraId="2AB5689E">
            <w:pPr>
              <w:pStyle w:val="6"/>
              <w:spacing w:before="61" w:line="224" w:lineRule="auto"/>
              <w:ind w:left="124"/>
            </w:pPr>
            <w:r>
              <w:rPr>
                <w:spacing w:val="8"/>
              </w:rPr>
              <w:t>1、核实违法事实，报行政机关负责人批准。</w:t>
            </w:r>
          </w:p>
        </w:tc>
        <w:tc>
          <w:tcPr>
            <w:tcW w:w="3768" w:type="dxa"/>
            <w:vMerge w:val="restart"/>
            <w:tcBorders>
              <w:bottom w:val="nil"/>
            </w:tcBorders>
            <w:vAlign w:val="top"/>
          </w:tcPr>
          <w:p w14:paraId="6EAC5641">
            <w:pPr>
              <w:spacing w:line="254" w:lineRule="auto"/>
              <w:rPr>
                <w:rFonts w:ascii="Arial"/>
                <w:sz w:val="21"/>
              </w:rPr>
            </w:pPr>
          </w:p>
          <w:p w14:paraId="4F99860F">
            <w:pPr>
              <w:spacing w:line="254" w:lineRule="auto"/>
              <w:rPr>
                <w:rFonts w:ascii="Arial"/>
                <w:sz w:val="21"/>
              </w:rPr>
            </w:pPr>
          </w:p>
          <w:p w14:paraId="42621FEE">
            <w:pPr>
              <w:spacing w:line="254" w:lineRule="auto"/>
              <w:rPr>
                <w:rFonts w:ascii="Arial"/>
                <w:sz w:val="21"/>
              </w:rPr>
            </w:pPr>
          </w:p>
          <w:p w14:paraId="20A26A1D">
            <w:pPr>
              <w:spacing w:line="254" w:lineRule="auto"/>
              <w:rPr>
                <w:rFonts w:ascii="Arial"/>
                <w:sz w:val="21"/>
              </w:rPr>
            </w:pPr>
          </w:p>
          <w:p w14:paraId="4E53B85D">
            <w:pPr>
              <w:spacing w:line="254" w:lineRule="auto"/>
              <w:rPr>
                <w:rFonts w:ascii="Arial"/>
                <w:sz w:val="21"/>
              </w:rPr>
            </w:pPr>
          </w:p>
          <w:p w14:paraId="773310E2">
            <w:pPr>
              <w:spacing w:line="255" w:lineRule="auto"/>
              <w:rPr>
                <w:rFonts w:ascii="Arial"/>
                <w:sz w:val="21"/>
              </w:rPr>
            </w:pPr>
          </w:p>
          <w:p w14:paraId="0528293C">
            <w:pPr>
              <w:spacing w:line="255" w:lineRule="auto"/>
              <w:rPr>
                <w:rFonts w:ascii="Arial"/>
                <w:sz w:val="21"/>
              </w:rPr>
            </w:pPr>
          </w:p>
          <w:p w14:paraId="45BD70A8">
            <w:pPr>
              <w:spacing w:line="255" w:lineRule="auto"/>
              <w:rPr>
                <w:rFonts w:ascii="Arial"/>
                <w:sz w:val="21"/>
              </w:rPr>
            </w:pPr>
          </w:p>
          <w:p w14:paraId="62307A5E">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3FB0E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trPr>
        <w:tc>
          <w:tcPr>
            <w:tcW w:w="724" w:type="dxa"/>
            <w:vMerge w:val="continue"/>
            <w:tcBorders>
              <w:top w:val="nil"/>
              <w:bottom w:val="nil"/>
            </w:tcBorders>
            <w:textDirection w:val="tbRlV"/>
            <w:vAlign w:val="top"/>
          </w:tcPr>
          <w:p w14:paraId="6EAF93BE">
            <w:pPr>
              <w:rPr>
                <w:rFonts w:ascii="Arial"/>
                <w:sz w:val="21"/>
              </w:rPr>
            </w:pPr>
          </w:p>
        </w:tc>
        <w:tc>
          <w:tcPr>
            <w:tcW w:w="1260" w:type="dxa"/>
            <w:vMerge w:val="continue"/>
            <w:tcBorders>
              <w:top w:val="nil"/>
              <w:bottom w:val="nil"/>
            </w:tcBorders>
            <w:vAlign w:val="top"/>
          </w:tcPr>
          <w:p w14:paraId="56DA6AF9">
            <w:pPr>
              <w:rPr>
                <w:rFonts w:ascii="Arial"/>
                <w:sz w:val="21"/>
              </w:rPr>
            </w:pPr>
          </w:p>
        </w:tc>
        <w:tc>
          <w:tcPr>
            <w:tcW w:w="3307" w:type="dxa"/>
            <w:vMerge w:val="continue"/>
            <w:tcBorders>
              <w:top w:val="nil"/>
              <w:bottom w:val="nil"/>
            </w:tcBorders>
            <w:vAlign w:val="top"/>
          </w:tcPr>
          <w:p w14:paraId="19FF5103">
            <w:pPr>
              <w:rPr>
                <w:rFonts w:ascii="Arial"/>
                <w:sz w:val="21"/>
              </w:rPr>
            </w:pPr>
          </w:p>
        </w:tc>
        <w:tc>
          <w:tcPr>
            <w:tcW w:w="6193" w:type="dxa"/>
            <w:vAlign w:val="top"/>
          </w:tcPr>
          <w:p w14:paraId="16EFE8DF">
            <w:pPr>
              <w:pStyle w:val="6"/>
              <w:spacing w:before="273" w:line="224" w:lineRule="auto"/>
              <w:ind w:left="119"/>
            </w:pPr>
            <w:r>
              <w:rPr>
                <w:spacing w:val="7"/>
              </w:rPr>
              <w:t>2、依法作出处理决定。</w:t>
            </w:r>
          </w:p>
        </w:tc>
        <w:tc>
          <w:tcPr>
            <w:tcW w:w="3768" w:type="dxa"/>
            <w:vMerge w:val="continue"/>
            <w:tcBorders>
              <w:top w:val="nil"/>
              <w:bottom w:val="nil"/>
            </w:tcBorders>
            <w:vAlign w:val="top"/>
          </w:tcPr>
          <w:p w14:paraId="41D726EB">
            <w:pPr>
              <w:rPr>
                <w:rFonts w:ascii="Arial"/>
                <w:sz w:val="21"/>
              </w:rPr>
            </w:pPr>
          </w:p>
        </w:tc>
      </w:tr>
      <w:tr w14:paraId="53FA6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26B3F0C4">
            <w:pPr>
              <w:rPr>
                <w:rFonts w:ascii="Arial"/>
                <w:sz w:val="21"/>
              </w:rPr>
            </w:pPr>
          </w:p>
        </w:tc>
        <w:tc>
          <w:tcPr>
            <w:tcW w:w="1260" w:type="dxa"/>
            <w:vMerge w:val="continue"/>
            <w:tcBorders>
              <w:top w:val="nil"/>
              <w:bottom w:val="nil"/>
            </w:tcBorders>
            <w:vAlign w:val="top"/>
          </w:tcPr>
          <w:p w14:paraId="5F7CDC15">
            <w:pPr>
              <w:rPr>
                <w:rFonts w:ascii="Arial"/>
                <w:sz w:val="21"/>
              </w:rPr>
            </w:pPr>
          </w:p>
        </w:tc>
        <w:tc>
          <w:tcPr>
            <w:tcW w:w="3307" w:type="dxa"/>
            <w:vMerge w:val="continue"/>
            <w:tcBorders>
              <w:top w:val="nil"/>
              <w:bottom w:val="nil"/>
            </w:tcBorders>
            <w:vAlign w:val="top"/>
          </w:tcPr>
          <w:p w14:paraId="433E46F5">
            <w:pPr>
              <w:rPr>
                <w:rFonts w:ascii="Arial"/>
                <w:sz w:val="21"/>
              </w:rPr>
            </w:pPr>
          </w:p>
        </w:tc>
        <w:tc>
          <w:tcPr>
            <w:tcW w:w="6193" w:type="dxa"/>
            <w:vAlign w:val="top"/>
          </w:tcPr>
          <w:p w14:paraId="55AAD08F">
            <w:pPr>
              <w:spacing w:line="312" w:lineRule="auto"/>
              <w:rPr>
                <w:rFonts w:ascii="Arial"/>
                <w:sz w:val="21"/>
              </w:rPr>
            </w:pPr>
          </w:p>
          <w:p w14:paraId="7DD6F7D4">
            <w:pPr>
              <w:pStyle w:val="6"/>
              <w:spacing w:before="61" w:line="310" w:lineRule="auto"/>
              <w:ind w:left="120" w:right="49" w:firstLine="6"/>
            </w:pPr>
            <w:r>
              <w:rPr>
                <w:spacing w:val="9"/>
              </w:rPr>
              <w:t>3、制作笔录，告知当事人采取强制措施的理由、依据及当事人依法</w:t>
            </w:r>
            <w:r>
              <w:rPr>
                <w:spacing w:val="4"/>
              </w:rPr>
              <w:t>享有的权利，并当场交付查封、扣押决定书和清单、实施查封、扣押。</w:t>
            </w:r>
          </w:p>
        </w:tc>
        <w:tc>
          <w:tcPr>
            <w:tcW w:w="3768" w:type="dxa"/>
            <w:vMerge w:val="continue"/>
            <w:tcBorders>
              <w:top w:val="nil"/>
              <w:bottom w:val="nil"/>
            </w:tcBorders>
            <w:vAlign w:val="top"/>
          </w:tcPr>
          <w:p w14:paraId="64F44C6C">
            <w:pPr>
              <w:rPr>
                <w:rFonts w:ascii="Arial"/>
                <w:sz w:val="21"/>
              </w:rPr>
            </w:pPr>
          </w:p>
        </w:tc>
      </w:tr>
      <w:tr w14:paraId="3F373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8" w:hRule="atLeast"/>
        </w:trPr>
        <w:tc>
          <w:tcPr>
            <w:tcW w:w="724" w:type="dxa"/>
            <w:vMerge w:val="continue"/>
            <w:tcBorders>
              <w:top w:val="nil"/>
              <w:bottom w:val="nil"/>
            </w:tcBorders>
            <w:textDirection w:val="tbRlV"/>
            <w:vAlign w:val="top"/>
          </w:tcPr>
          <w:p w14:paraId="127AFB91">
            <w:pPr>
              <w:rPr>
                <w:rFonts w:ascii="Arial"/>
                <w:sz w:val="21"/>
              </w:rPr>
            </w:pPr>
          </w:p>
        </w:tc>
        <w:tc>
          <w:tcPr>
            <w:tcW w:w="1260" w:type="dxa"/>
            <w:vMerge w:val="continue"/>
            <w:tcBorders>
              <w:top w:val="nil"/>
              <w:bottom w:val="nil"/>
            </w:tcBorders>
            <w:vAlign w:val="top"/>
          </w:tcPr>
          <w:p w14:paraId="1F312118">
            <w:pPr>
              <w:rPr>
                <w:rFonts w:ascii="Arial"/>
                <w:sz w:val="21"/>
              </w:rPr>
            </w:pPr>
          </w:p>
        </w:tc>
        <w:tc>
          <w:tcPr>
            <w:tcW w:w="3307" w:type="dxa"/>
            <w:vMerge w:val="continue"/>
            <w:tcBorders>
              <w:top w:val="nil"/>
              <w:bottom w:val="nil"/>
            </w:tcBorders>
            <w:vAlign w:val="top"/>
          </w:tcPr>
          <w:p w14:paraId="7B1648F4">
            <w:pPr>
              <w:rPr>
                <w:rFonts w:ascii="Arial"/>
                <w:sz w:val="21"/>
              </w:rPr>
            </w:pPr>
          </w:p>
        </w:tc>
        <w:tc>
          <w:tcPr>
            <w:tcW w:w="6193" w:type="dxa"/>
            <w:vAlign w:val="top"/>
          </w:tcPr>
          <w:p w14:paraId="64026357">
            <w:pPr>
              <w:pStyle w:val="6"/>
              <w:spacing w:before="65" w:line="310" w:lineRule="auto"/>
              <w:ind w:left="113" w:right="46" w:firstLine="5"/>
              <w:jc w:val="both"/>
            </w:pPr>
            <w:r>
              <w:rPr>
                <w:spacing w:val="9"/>
              </w:rPr>
              <w:t>4、行政机关采取查封、扣押措施后，应当及时查清事实，在《中华人民共和国行政强制法》第二十五条规定的期限内作出处理决</w:t>
            </w:r>
            <w:r>
              <w:rPr>
                <w:spacing w:val="8"/>
              </w:rPr>
              <w:t>定。对</w:t>
            </w:r>
            <w:r>
              <w:rPr>
                <w:spacing w:val="9"/>
              </w:rPr>
              <w:t>违法事实清楚，依法应当没收的非法财物予以没收；法律、行</w:t>
            </w:r>
            <w:r>
              <w:rPr>
                <w:spacing w:val="8"/>
              </w:rPr>
              <w:t>政法规</w:t>
            </w:r>
            <w:r>
              <w:rPr>
                <w:spacing w:val="4"/>
              </w:rPr>
              <w:t>规定应当销毁的，依法销毁；应当解除查封、扣押的，作出解除查封、</w:t>
            </w:r>
            <w:r>
              <w:rPr>
                <w:spacing w:val="6"/>
              </w:rPr>
              <w:t>扣押的决定。</w:t>
            </w:r>
          </w:p>
        </w:tc>
        <w:tc>
          <w:tcPr>
            <w:tcW w:w="3768" w:type="dxa"/>
            <w:vMerge w:val="continue"/>
            <w:tcBorders>
              <w:top w:val="nil"/>
              <w:bottom w:val="nil"/>
            </w:tcBorders>
            <w:vAlign w:val="top"/>
          </w:tcPr>
          <w:p w14:paraId="4329CAAB">
            <w:pPr>
              <w:rPr>
                <w:rFonts w:ascii="Arial"/>
                <w:sz w:val="21"/>
              </w:rPr>
            </w:pPr>
          </w:p>
        </w:tc>
      </w:tr>
      <w:tr w14:paraId="086E4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0D779A41">
            <w:pPr>
              <w:rPr>
                <w:rFonts w:ascii="Arial"/>
                <w:sz w:val="21"/>
              </w:rPr>
            </w:pPr>
          </w:p>
        </w:tc>
        <w:tc>
          <w:tcPr>
            <w:tcW w:w="1260" w:type="dxa"/>
            <w:vMerge w:val="continue"/>
            <w:tcBorders>
              <w:top w:val="nil"/>
            </w:tcBorders>
            <w:vAlign w:val="top"/>
          </w:tcPr>
          <w:p w14:paraId="4ACCCCFB">
            <w:pPr>
              <w:rPr>
                <w:rFonts w:ascii="Arial"/>
                <w:sz w:val="21"/>
              </w:rPr>
            </w:pPr>
          </w:p>
        </w:tc>
        <w:tc>
          <w:tcPr>
            <w:tcW w:w="3307" w:type="dxa"/>
            <w:vMerge w:val="continue"/>
            <w:tcBorders>
              <w:top w:val="nil"/>
            </w:tcBorders>
            <w:vAlign w:val="top"/>
          </w:tcPr>
          <w:p w14:paraId="5C5C7D48">
            <w:pPr>
              <w:rPr>
                <w:rFonts w:ascii="Arial"/>
                <w:sz w:val="21"/>
              </w:rPr>
            </w:pPr>
          </w:p>
        </w:tc>
        <w:tc>
          <w:tcPr>
            <w:tcW w:w="6193" w:type="dxa"/>
            <w:vAlign w:val="top"/>
          </w:tcPr>
          <w:p w14:paraId="71C0C34C">
            <w:pPr>
              <w:pStyle w:val="6"/>
              <w:spacing w:before="90" w:line="224" w:lineRule="auto"/>
              <w:ind w:left="121"/>
            </w:pPr>
            <w:r>
              <w:rPr>
                <w:spacing w:val="8"/>
              </w:rPr>
              <w:t>5、其他法律法规规章规定应履行的责任。</w:t>
            </w:r>
          </w:p>
        </w:tc>
        <w:tc>
          <w:tcPr>
            <w:tcW w:w="3768" w:type="dxa"/>
            <w:vMerge w:val="continue"/>
            <w:tcBorders>
              <w:top w:val="nil"/>
            </w:tcBorders>
            <w:vAlign w:val="top"/>
          </w:tcPr>
          <w:p w14:paraId="437BEABC">
            <w:pPr>
              <w:rPr>
                <w:rFonts w:ascii="Arial"/>
                <w:sz w:val="21"/>
              </w:rPr>
            </w:pPr>
          </w:p>
        </w:tc>
      </w:tr>
      <w:tr w14:paraId="5C578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4F2D994A">
            <w:pPr>
              <w:pStyle w:val="6"/>
              <w:spacing w:before="237"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D725CF5">
      <w:pPr>
        <w:pStyle w:val="2"/>
      </w:pPr>
    </w:p>
    <w:p w14:paraId="6203BA41">
      <w:pPr>
        <w:sectPr>
          <w:footerReference r:id="rId32" w:type="default"/>
          <w:pgSz w:w="16839" w:h="11906"/>
          <w:pgMar w:top="1012" w:right="685" w:bottom="1213" w:left="895" w:header="0" w:footer="938" w:gutter="0"/>
          <w:cols w:space="720" w:num="1"/>
        </w:sectPr>
      </w:pPr>
    </w:p>
    <w:p w14:paraId="7C683C33">
      <w:pPr>
        <w:spacing w:before="22"/>
      </w:pPr>
    </w:p>
    <w:p w14:paraId="346796DF">
      <w:pPr>
        <w:spacing w:before="22"/>
      </w:pPr>
    </w:p>
    <w:p w14:paraId="63A44A4F">
      <w:pPr>
        <w:spacing w:before="22"/>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592"/>
        <w:gridCol w:w="4907"/>
        <w:gridCol w:w="3769"/>
      </w:tblGrid>
      <w:tr w14:paraId="67E0D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6AA58160">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435B6C91">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575CCE8">
            <w:pPr>
              <w:spacing w:before="190"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592" w:type="dxa"/>
            <w:vAlign w:val="top"/>
          </w:tcPr>
          <w:p w14:paraId="2D765424">
            <w:pPr>
              <w:spacing w:before="189" w:line="228" w:lineRule="auto"/>
              <w:ind w:left="1883"/>
              <w:rPr>
                <w:rFonts w:ascii="宋体" w:hAnsi="宋体" w:eastAsia="宋体" w:cs="宋体"/>
                <w:sz w:val="20"/>
                <w:szCs w:val="20"/>
              </w:rPr>
            </w:pPr>
            <w:r>
              <w:rPr>
                <w:rFonts w:ascii="宋体" w:hAnsi="宋体" w:eastAsia="宋体" w:cs="宋体"/>
                <w:b/>
                <w:bCs/>
                <w:spacing w:val="5"/>
                <w:sz w:val="20"/>
                <w:szCs w:val="20"/>
              </w:rPr>
              <w:t>实施依据</w:t>
            </w:r>
          </w:p>
        </w:tc>
        <w:tc>
          <w:tcPr>
            <w:tcW w:w="4907" w:type="dxa"/>
            <w:vAlign w:val="top"/>
          </w:tcPr>
          <w:p w14:paraId="4D01278A">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67EB482A">
            <w:pPr>
              <w:spacing w:before="190"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1BCE6E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724" w:type="dxa"/>
            <w:vMerge w:val="restart"/>
            <w:tcBorders>
              <w:bottom w:val="nil"/>
            </w:tcBorders>
            <w:textDirection w:val="tbRlV"/>
            <w:vAlign w:val="top"/>
          </w:tcPr>
          <w:p w14:paraId="4086A635">
            <w:pPr>
              <w:pStyle w:val="6"/>
              <w:spacing w:before="255" w:line="213" w:lineRule="auto"/>
              <w:ind w:left="2516"/>
              <w:rPr>
                <w:sz w:val="20"/>
                <w:szCs w:val="20"/>
              </w:rPr>
            </w:pPr>
            <w:r>
              <w:rPr>
                <w:spacing w:val="7"/>
                <w:sz w:val="20"/>
                <w:szCs w:val="20"/>
              </w:rPr>
              <w:t>行</w:t>
            </w:r>
            <w:r>
              <w:rPr>
                <w:spacing w:val="-24"/>
                <w:sz w:val="20"/>
                <w:szCs w:val="20"/>
              </w:rPr>
              <w:t xml:space="preserve"> </w:t>
            </w:r>
            <w:r>
              <w:rPr>
                <w:spacing w:val="7"/>
                <w:sz w:val="20"/>
                <w:szCs w:val="20"/>
              </w:rPr>
              <w:t>政</w:t>
            </w:r>
            <w:r>
              <w:rPr>
                <w:spacing w:val="-29"/>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7"/>
                <w:sz w:val="20"/>
                <w:szCs w:val="20"/>
              </w:rPr>
              <w:t xml:space="preserve"> </w:t>
            </w:r>
            <w:r>
              <w:rPr>
                <w:spacing w:val="7"/>
                <w:sz w:val="20"/>
                <w:szCs w:val="20"/>
              </w:rPr>
              <w:t>类</w:t>
            </w:r>
          </w:p>
        </w:tc>
        <w:tc>
          <w:tcPr>
            <w:tcW w:w="1260" w:type="dxa"/>
            <w:vMerge w:val="restart"/>
            <w:tcBorders>
              <w:bottom w:val="nil"/>
            </w:tcBorders>
            <w:vAlign w:val="top"/>
          </w:tcPr>
          <w:p w14:paraId="14B12588">
            <w:pPr>
              <w:spacing w:line="253" w:lineRule="auto"/>
              <w:rPr>
                <w:rFonts w:ascii="Arial"/>
                <w:sz w:val="21"/>
              </w:rPr>
            </w:pPr>
          </w:p>
          <w:p w14:paraId="19E98352">
            <w:pPr>
              <w:spacing w:line="253" w:lineRule="auto"/>
              <w:rPr>
                <w:rFonts w:ascii="Arial"/>
                <w:sz w:val="21"/>
              </w:rPr>
            </w:pPr>
          </w:p>
          <w:p w14:paraId="1BCDB91F">
            <w:pPr>
              <w:spacing w:line="253" w:lineRule="auto"/>
              <w:rPr>
                <w:rFonts w:ascii="Arial"/>
                <w:sz w:val="21"/>
              </w:rPr>
            </w:pPr>
          </w:p>
          <w:p w14:paraId="50A5F234">
            <w:pPr>
              <w:spacing w:line="254" w:lineRule="auto"/>
              <w:rPr>
                <w:rFonts w:ascii="Arial"/>
                <w:sz w:val="21"/>
              </w:rPr>
            </w:pPr>
          </w:p>
          <w:p w14:paraId="74AB7CBC">
            <w:pPr>
              <w:spacing w:line="254" w:lineRule="auto"/>
              <w:rPr>
                <w:rFonts w:ascii="Arial"/>
                <w:sz w:val="21"/>
              </w:rPr>
            </w:pPr>
          </w:p>
          <w:p w14:paraId="2655B68C">
            <w:pPr>
              <w:pStyle w:val="6"/>
              <w:spacing w:before="62" w:line="310" w:lineRule="auto"/>
              <w:ind w:left="111" w:right="153" w:firstLine="7"/>
              <w:jc w:val="both"/>
            </w:pPr>
            <w:r>
              <w:rPr>
                <w:spacing w:val="4"/>
              </w:rPr>
              <w:t>29.扣押或</w:t>
            </w:r>
            <w:r>
              <w:rPr>
                <w:spacing w:val="8"/>
              </w:rPr>
              <w:t>查封违法盐产品及其生</w:t>
            </w:r>
            <w:r>
              <w:rPr>
                <w:spacing w:val="6"/>
              </w:rPr>
              <w:t>产、加工、</w:t>
            </w:r>
          </w:p>
          <w:p w14:paraId="647110C1">
            <w:pPr>
              <w:pStyle w:val="6"/>
              <w:spacing w:line="310" w:lineRule="auto"/>
              <w:ind w:left="111" w:right="153"/>
            </w:pPr>
            <w:r>
              <w:rPr>
                <w:spacing w:val="7"/>
              </w:rPr>
              <w:t>运输工具、</w:t>
            </w:r>
            <w:r>
              <w:rPr>
                <w:spacing w:val="8"/>
              </w:rPr>
              <w:t>扣押与盐业案件活动有关的合同、发票、账册和其他相关</w:t>
            </w:r>
            <w:r>
              <w:rPr>
                <w:spacing w:val="5"/>
              </w:rPr>
              <w:t>资料</w:t>
            </w:r>
          </w:p>
        </w:tc>
        <w:tc>
          <w:tcPr>
            <w:tcW w:w="4592" w:type="dxa"/>
            <w:vMerge w:val="restart"/>
            <w:tcBorders>
              <w:bottom w:val="nil"/>
            </w:tcBorders>
            <w:vAlign w:val="top"/>
          </w:tcPr>
          <w:p w14:paraId="3135CEF3">
            <w:pPr>
              <w:pStyle w:val="6"/>
              <w:spacing w:before="62" w:line="226" w:lineRule="auto"/>
              <w:ind w:left="108"/>
            </w:pPr>
            <w:r>
              <w:rPr>
                <w:spacing w:val="9"/>
              </w:rPr>
              <w:t>《国务院关于加强食品等产品安全监督管理的特</w:t>
            </w:r>
          </w:p>
          <w:p w14:paraId="421B2B20">
            <w:pPr>
              <w:pStyle w:val="6"/>
              <w:spacing w:before="86" w:line="310" w:lineRule="auto"/>
              <w:ind w:left="108" w:firstLine="2"/>
            </w:pPr>
            <w:r>
              <w:rPr>
                <w:spacing w:val="3"/>
              </w:rPr>
              <w:t>别规定》（</w:t>
            </w:r>
            <w:r>
              <w:rPr>
                <w:spacing w:val="-39"/>
              </w:rPr>
              <w:t xml:space="preserve"> </w:t>
            </w:r>
            <w:r>
              <w:rPr>
                <w:spacing w:val="3"/>
              </w:rPr>
              <w:t>国务院令第</w:t>
            </w:r>
            <w:r>
              <w:rPr>
                <w:spacing w:val="-24"/>
              </w:rPr>
              <w:t xml:space="preserve"> </w:t>
            </w:r>
            <w:r>
              <w:rPr>
                <w:spacing w:val="3"/>
              </w:rPr>
              <w:t>503</w:t>
            </w:r>
            <w:r>
              <w:rPr>
                <w:spacing w:val="-30"/>
              </w:rPr>
              <w:t xml:space="preserve"> </w:t>
            </w:r>
            <w:r>
              <w:rPr>
                <w:spacing w:val="3"/>
              </w:rPr>
              <w:t>号）第十五条</w:t>
            </w:r>
            <w:r>
              <w:rPr>
                <w:spacing w:val="-67"/>
              </w:rPr>
              <w:t xml:space="preserve"> </w:t>
            </w:r>
            <w:r>
              <w:rPr>
                <w:spacing w:val="3"/>
              </w:rPr>
              <w:t>“ 农业、</w:t>
            </w:r>
            <w:r>
              <w:rPr>
                <w:spacing w:val="8"/>
              </w:rPr>
              <w:t>卫生、质检、商务、工商、药品等监督管理部门履</w:t>
            </w:r>
            <w:r>
              <w:rPr>
                <w:spacing w:val="4"/>
              </w:rPr>
              <w:t>行各自产品安全监督管理职责，有下列职权</w:t>
            </w:r>
            <w:r>
              <w:rPr>
                <w:spacing w:val="-40"/>
              </w:rPr>
              <w:t>：（</w:t>
            </w:r>
            <w:r>
              <w:rPr>
                <w:spacing w:val="-46"/>
              </w:rPr>
              <w:t xml:space="preserve"> </w:t>
            </w:r>
            <w:r>
              <w:rPr>
                <w:spacing w:val="4"/>
              </w:rPr>
              <w:t>一</w:t>
            </w:r>
            <w:r>
              <w:rPr>
                <w:spacing w:val="-41"/>
              </w:rPr>
              <w:t xml:space="preserve"> </w:t>
            </w:r>
            <w:r>
              <w:rPr>
                <w:spacing w:val="4"/>
              </w:rPr>
              <w:t>）</w:t>
            </w:r>
            <w:r>
              <w:rPr>
                <w:spacing w:val="7"/>
              </w:rPr>
              <w:t>进入生产经营场所实施现场检查</w:t>
            </w:r>
            <w:r>
              <w:rPr>
                <w:spacing w:val="-4"/>
              </w:rPr>
              <w:t>；（</w:t>
            </w:r>
            <w:r>
              <w:rPr>
                <w:spacing w:val="-46"/>
              </w:rPr>
              <w:t xml:space="preserve"> </w:t>
            </w:r>
            <w:r>
              <w:rPr>
                <w:spacing w:val="7"/>
              </w:rPr>
              <w:t>二）查阅、复</w:t>
            </w:r>
            <w:r>
              <w:rPr>
                <w:spacing w:val="8"/>
              </w:rPr>
              <w:t>制、查封、扣押有关合同、票据、账簿以及其他有</w:t>
            </w:r>
            <w:r>
              <w:rPr>
                <w:spacing w:val="6"/>
              </w:rPr>
              <w:t>关资料</w:t>
            </w:r>
            <w:r>
              <w:rPr>
                <w:spacing w:val="-35"/>
              </w:rPr>
              <w:t>；（</w:t>
            </w:r>
            <w:r>
              <w:rPr>
                <w:spacing w:val="-44"/>
              </w:rPr>
              <w:t xml:space="preserve"> </w:t>
            </w:r>
            <w:r>
              <w:rPr>
                <w:spacing w:val="6"/>
              </w:rPr>
              <w:t>三）查封、扣押不符合法定要求的产品，</w:t>
            </w:r>
            <w:r>
              <w:rPr>
                <w:spacing w:val="8"/>
              </w:rPr>
              <w:t>违法使用的原料、辅料、添加剂、农业投入品以及</w:t>
            </w:r>
            <w:r>
              <w:rPr>
                <w:spacing w:val="7"/>
              </w:rPr>
              <w:t>用于违法生产的工具、设备</w:t>
            </w:r>
            <w:r>
              <w:rPr>
                <w:spacing w:val="-9"/>
              </w:rPr>
              <w:t>；（</w:t>
            </w:r>
            <w:r>
              <w:rPr>
                <w:spacing w:val="-36"/>
              </w:rPr>
              <w:t xml:space="preserve"> </w:t>
            </w:r>
            <w:r>
              <w:rPr>
                <w:spacing w:val="7"/>
              </w:rPr>
              <w:t>四）查封存在危害</w:t>
            </w:r>
            <w:r>
              <w:rPr>
                <w:spacing w:val="12"/>
              </w:rPr>
              <w:t>人体健康和生命安全重大隐患的生产经营场所。</w:t>
            </w:r>
            <w:r>
              <w:rPr>
                <w:spacing w:val="-62"/>
              </w:rPr>
              <w:t xml:space="preserve"> </w:t>
            </w:r>
            <w:r>
              <w:rPr>
                <w:spacing w:val="12"/>
              </w:rPr>
              <w:t>”</w:t>
            </w:r>
            <w:r>
              <w:t xml:space="preserve"> </w:t>
            </w:r>
            <w:r>
              <w:rPr>
                <w:spacing w:val="1"/>
              </w:rPr>
              <w:t>《河南省盐业管理条例》(2010</w:t>
            </w:r>
            <w:r>
              <w:rPr>
                <w:spacing w:val="-36"/>
              </w:rPr>
              <w:t xml:space="preserve"> </w:t>
            </w:r>
            <w:r>
              <w:rPr>
                <w:spacing w:val="1"/>
              </w:rPr>
              <w:t>年</w:t>
            </w:r>
            <w:r>
              <w:rPr>
                <w:spacing w:val="-23"/>
              </w:rPr>
              <w:t xml:space="preserve"> </w:t>
            </w:r>
            <w:r>
              <w:rPr>
                <w:spacing w:val="1"/>
              </w:rPr>
              <w:t>07</w:t>
            </w:r>
            <w:r>
              <w:rPr>
                <w:spacing w:val="-27"/>
              </w:rPr>
              <w:t xml:space="preserve"> </w:t>
            </w:r>
            <w:r>
              <w:rPr>
                <w:spacing w:val="1"/>
              </w:rPr>
              <w:t>月</w:t>
            </w:r>
            <w:r>
              <w:rPr>
                <w:spacing w:val="-22"/>
              </w:rPr>
              <w:t xml:space="preserve"> </w:t>
            </w:r>
            <w:r>
              <w:rPr>
                <w:spacing w:val="1"/>
              </w:rPr>
              <w:t>30 日修</w:t>
            </w:r>
            <w:r>
              <w:t>订，</w:t>
            </w:r>
            <w:r>
              <w:rPr>
                <w:spacing w:val="7"/>
              </w:rPr>
              <w:t>省人民代表大会常务委员会公告〔十一届〕第</w:t>
            </w:r>
            <w:r>
              <w:rPr>
                <w:spacing w:val="-6"/>
              </w:rPr>
              <w:t xml:space="preserve"> </w:t>
            </w:r>
            <w:r>
              <w:rPr>
                <w:spacing w:val="7"/>
              </w:rPr>
              <w:t>36</w:t>
            </w:r>
            <w:r>
              <w:t xml:space="preserve"> </w:t>
            </w:r>
            <w:r>
              <w:rPr>
                <w:spacing w:val="6"/>
              </w:rPr>
              <w:t>号)第十七条：</w:t>
            </w:r>
            <w:r>
              <w:rPr>
                <w:spacing w:val="-30"/>
              </w:rPr>
              <w:t xml:space="preserve"> </w:t>
            </w:r>
            <w:r>
              <w:rPr>
                <w:spacing w:val="6"/>
              </w:rPr>
              <w:t>“盐业行政执法人员依法监督检查</w:t>
            </w:r>
            <w:r>
              <w:t xml:space="preserve"> </w:t>
            </w:r>
            <w:r>
              <w:rPr>
                <w:spacing w:val="-1"/>
              </w:rPr>
              <w:t>盐业违法行为时，行使下列职权</w:t>
            </w:r>
            <w:r>
              <w:rPr>
                <w:spacing w:val="-26"/>
              </w:rPr>
              <w:t>：（</w:t>
            </w:r>
            <w:r>
              <w:rPr>
                <w:spacing w:val="-48"/>
              </w:rPr>
              <w:t xml:space="preserve"> </w:t>
            </w:r>
            <w:r>
              <w:rPr>
                <w:spacing w:val="-1"/>
              </w:rPr>
              <w:t>一）…</w:t>
            </w:r>
            <w:r>
              <w:rPr>
                <w:spacing w:val="-63"/>
              </w:rPr>
              <w:t xml:space="preserve"> </w:t>
            </w:r>
            <w:r>
              <w:rPr>
                <w:spacing w:val="-1"/>
              </w:rPr>
              <w:t>…（</w:t>
            </w:r>
            <w:r>
              <w:rPr>
                <w:spacing w:val="-48"/>
              </w:rPr>
              <w:t xml:space="preserve"> </w:t>
            </w:r>
            <w:r>
              <w:rPr>
                <w:spacing w:val="-1"/>
              </w:rPr>
              <w:t>二</w:t>
            </w:r>
            <w:r>
              <w:rPr>
                <w:spacing w:val="-41"/>
              </w:rPr>
              <w:t xml:space="preserve"> </w:t>
            </w:r>
            <w:r>
              <w:rPr>
                <w:spacing w:val="-1"/>
              </w:rPr>
              <w:t>）</w:t>
            </w:r>
            <w:r>
              <w:rPr>
                <w:spacing w:val="8"/>
              </w:rPr>
              <w:t>检查案件当事人的生产（加工）经营场所、盐产品存放地及运输的涉嫌货物，对违法的盐产品和其生</w:t>
            </w:r>
            <w:r>
              <w:rPr>
                <w:spacing w:val="1"/>
              </w:rPr>
              <w:t>产、加工、运输工具可以扣押或查封。（</w:t>
            </w:r>
            <w:r>
              <w:rPr>
                <w:spacing w:val="-28"/>
              </w:rPr>
              <w:t xml:space="preserve"> </w:t>
            </w:r>
            <w:r>
              <w:rPr>
                <w:spacing w:val="1"/>
              </w:rPr>
              <w:t>三</w:t>
            </w:r>
            <w:r>
              <w:rPr>
                <w:spacing w:val="-38"/>
              </w:rPr>
              <w:t xml:space="preserve"> </w:t>
            </w:r>
            <w:r>
              <w:rPr>
                <w:spacing w:val="1"/>
              </w:rPr>
              <w:t>）…</w:t>
            </w:r>
            <w:r>
              <w:rPr>
                <w:spacing w:val="-63"/>
              </w:rPr>
              <w:t xml:space="preserve"> </w:t>
            </w:r>
            <w:r>
              <w:rPr>
                <w:spacing w:val="1"/>
              </w:rPr>
              <w:t>…</w:t>
            </w:r>
            <w:r>
              <w:t xml:space="preserve"> </w:t>
            </w:r>
            <w:r>
              <w:rPr>
                <w:spacing w:val="7"/>
              </w:rPr>
              <w:t>（</w:t>
            </w:r>
            <w:r>
              <w:rPr>
                <w:spacing w:val="-31"/>
              </w:rPr>
              <w:t xml:space="preserve"> </w:t>
            </w:r>
            <w:r>
              <w:rPr>
                <w:spacing w:val="7"/>
              </w:rPr>
              <w:t>四）查阅、复制、扣押与案件活动有关的合同、</w:t>
            </w:r>
            <w:r>
              <w:rPr>
                <w:spacing w:val="13"/>
              </w:rPr>
              <w:t>发票、帐册和其他有关资料。</w:t>
            </w:r>
            <w:r>
              <w:rPr>
                <w:spacing w:val="-57"/>
              </w:rPr>
              <w:t xml:space="preserve"> </w:t>
            </w:r>
            <w:r>
              <w:rPr>
                <w:spacing w:val="13"/>
              </w:rPr>
              <w:t>”</w:t>
            </w:r>
          </w:p>
        </w:tc>
        <w:tc>
          <w:tcPr>
            <w:tcW w:w="4907" w:type="dxa"/>
            <w:vAlign w:val="top"/>
          </w:tcPr>
          <w:p w14:paraId="769FCD66">
            <w:pPr>
              <w:spacing w:line="330" w:lineRule="auto"/>
              <w:rPr>
                <w:rFonts w:ascii="Arial"/>
                <w:sz w:val="21"/>
              </w:rPr>
            </w:pPr>
          </w:p>
          <w:p w14:paraId="70B76976">
            <w:pPr>
              <w:pStyle w:val="6"/>
              <w:spacing w:before="62" w:line="224" w:lineRule="auto"/>
              <w:ind w:left="125"/>
            </w:pPr>
            <w:r>
              <w:rPr>
                <w:spacing w:val="8"/>
              </w:rPr>
              <w:t>1、核实违法事实，报行政机关负责人批准。</w:t>
            </w:r>
          </w:p>
        </w:tc>
        <w:tc>
          <w:tcPr>
            <w:tcW w:w="3769" w:type="dxa"/>
            <w:vMerge w:val="restart"/>
            <w:tcBorders>
              <w:bottom w:val="nil"/>
            </w:tcBorders>
            <w:vAlign w:val="top"/>
          </w:tcPr>
          <w:p w14:paraId="468CB2A3">
            <w:pPr>
              <w:spacing w:line="257" w:lineRule="auto"/>
              <w:rPr>
                <w:rFonts w:ascii="Arial"/>
                <w:sz w:val="21"/>
              </w:rPr>
            </w:pPr>
          </w:p>
          <w:p w14:paraId="727141A8">
            <w:pPr>
              <w:spacing w:line="257" w:lineRule="auto"/>
              <w:rPr>
                <w:rFonts w:ascii="Arial"/>
                <w:sz w:val="21"/>
              </w:rPr>
            </w:pPr>
          </w:p>
          <w:p w14:paraId="2EDD6413">
            <w:pPr>
              <w:spacing w:line="257" w:lineRule="auto"/>
              <w:rPr>
                <w:rFonts w:ascii="Arial"/>
                <w:sz w:val="21"/>
              </w:rPr>
            </w:pPr>
          </w:p>
          <w:p w14:paraId="1342D5C8">
            <w:pPr>
              <w:spacing w:line="257" w:lineRule="auto"/>
              <w:rPr>
                <w:rFonts w:ascii="Arial"/>
                <w:sz w:val="21"/>
              </w:rPr>
            </w:pPr>
          </w:p>
          <w:p w14:paraId="48BF8766">
            <w:pPr>
              <w:spacing w:line="257" w:lineRule="auto"/>
              <w:rPr>
                <w:rFonts w:ascii="Arial"/>
                <w:sz w:val="21"/>
              </w:rPr>
            </w:pPr>
          </w:p>
          <w:p w14:paraId="763639C6">
            <w:pPr>
              <w:spacing w:line="258" w:lineRule="auto"/>
              <w:rPr>
                <w:rFonts w:ascii="Arial"/>
                <w:sz w:val="21"/>
              </w:rPr>
            </w:pPr>
          </w:p>
          <w:p w14:paraId="59B5BC6B">
            <w:pPr>
              <w:spacing w:line="258" w:lineRule="auto"/>
              <w:rPr>
                <w:rFonts w:ascii="Arial"/>
                <w:sz w:val="21"/>
              </w:rPr>
            </w:pPr>
          </w:p>
          <w:p w14:paraId="622452DB">
            <w:pPr>
              <w:spacing w:line="258" w:lineRule="auto"/>
              <w:rPr>
                <w:rFonts w:ascii="Arial"/>
                <w:sz w:val="21"/>
              </w:rPr>
            </w:pPr>
          </w:p>
          <w:p w14:paraId="77A4670D">
            <w:pPr>
              <w:spacing w:line="258" w:lineRule="auto"/>
              <w:rPr>
                <w:rFonts w:ascii="Arial"/>
                <w:sz w:val="21"/>
              </w:rPr>
            </w:pPr>
          </w:p>
          <w:p w14:paraId="22728DBA">
            <w:pPr>
              <w:spacing w:line="258" w:lineRule="auto"/>
              <w:rPr>
                <w:rFonts w:ascii="Arial"/>
                <w:sz w:val="21"/>
              </w:rPr>
            </w:pPr>
          </w:p>
          <w:p w14:paraId="3F59A362">
            <w:pPr>
              <w:pStyle w:val="6"/>
              <w:spacing w:before="65" w:line="259" w:lineRule="auto"/>
              <w:ind w:left="114"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4D6D7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724" w:type="dxa"/>
            <w:vMerge w:val="continue"/>
            <w:tcBorders>
              <w:top w:val="nil"/>
              <w:bottom w:val="nil"/>
            </w:tcBorders>
            <w:textDirection w:val="tbRlV"/>
            <w:vAlign w:val="top"/>
          </w:tcPr>
          <w:p w14:paraId="6D56E0FB">
            <w:pPr>
              <w:rPr>
                <w:rFonts w:ascii="Arial"/>
                <w:sz w:val="21"/>
              </w:rPr>
            </w:pPr>
          </w:p>
        </w:tc>
        <w:tc>
          <w:tcPr>
            <w:tcW w:w="1260" w:type="dxa"/>
            <w:vMerge w:val="continue"/>
            <w:tcBorders>
              <w:top w:val="nil"/>
              <w:bottom w:val="nil"/>
            </w:tcBorders>
            <w:vAlign w:val="top"/>
          </w:tcPr>
          <w:p w14:paraId="506CF0F7">
            <w:pPr>
              <w:rPr>
                <w:rFonts w:ascii="Arial"/>
                <w:sz w:val="21"/>
              </w:rPr>
            </w:pPr>
          </w:p>
        </w:tc>
        <w:tc>
          <w:tcPr>
            <w:tcW w:w="4592" w:type="dxa"/>
            <w:vMerge w:val="continue"/>
            <w:tcBorders>
              <w:top w:val="nil"/>
              <w:bottom w:val="nil"/>
            </w:tcBorders>
            <w:vAlign w:val="top"/>
          </w:tcPr>
          <w:p w14:paraId="421AB2DB">
            <w:pPr>
              <w:rPr>
                <w:rFonts w:ascii="Arial"/>
                <w:sz w:val="21"/>
              </w:rPr>
            </w:pPr>
          </w:p>
        </w:tc>
        <w:tc>
          <w:tcPr>
            <w:tcW w:w="4907" w:type="dxa"/>
            <w:vAlign w:val="top"/>
          </w:tcPr>
          <w:p w14:paraId="01FC5561">
            <w:pPr>
              <w:spacing w:line="270" w:lineRule="auto"/>
              <w:rPr>
                <w:rFonts w:ascii="Arial"/>
                <w:sz w:val="21"/>
              </w:rPr>
            </w:pPr>
          </w:p>
          <w:p w14:paraId="53DFF0E7">
            <w:pPr>
              <w:pStyle w:val="6"/>
              <w:spacing w:before="61" w:line="224" w:lineRule="auto"/>
              <w:ind w:left="120"/>
            </w:pPr>
            <w:r>
              <w:rPr>
                <w:spacing w:val="7"/>
              </w:rPr>
              <w:t>2、依法作出处理决定。</w:t>
            </w:r>
          </w:p>
        </w:tc>
        <w:tc>
          <w:tcPr>
            <w:tcW w:w="3769" w:type="dxa"/>
            <w:vMerge w:val="continue"/>
            <w:tcBorders>
              <w:top w:val="nil"/>
              <w:bottom w:val="nil"/>
            </w:tcBorders>
            <w:vAlign w:val="top"/>
          </w:tcPr>
          <w:p w14:paraId="7A2B7F4F">
            <w:pPr>
              <w:rPr>
                <w:rFonts w:ascii="Arial"/>
                <w:sz w:val="21"/>
              </w:rPr>
            </w:pPr>
          </w:p>
        </w:tc>
      </w:tr>
      <w:tr w14:paraId="18DCA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35EDCF61">
            <w:pPr>
              <w:rPr>
                <w:rFonts w:ascii="Arial"/>
                <w:sz w:val="21"/>
              </w:rPr>
            </w:pPr>
          </w:p>
        </w:tc>
        <w:tc>
          <w:tcPr>
            <w:tcW w:w="1260" w:type="dxa"/>
            <w:vMerge w:val="continue"/>
            <w:tcBorders>
              <w:top w:val="nil"/>
              <w:bottom w:val="nil"/>
            </w:tcBorders>
            <w:vAlign w:val="top"/>
          </w:tcPr>
          <w:p w14:paraId="753BD5CC">
            <w:pPr>
              <w:rPr>
                <w:rFonts w:ascii="Arial"/>
                <w:sz w:val="21"/>
              </w:rPr>
            </w:pPr>
          </w:p>
        </w:tc>
        <w:tc>
          <w:tcPr>
            <w:tcW w:w="4592" w:type="dxa"/>
            <w:vMerge w:val="continue"/>
            <w:tcBorders>
              <w:top w:val="nil"/>
              <w:bottom w:val="nil"/>
            </w:tcBorders>
            <w:vAlign w:val="top"/>
          </w:tcPr>
          <w:p w14:paraId="7BB35A61">
            <w:pPr>
              <w:rPr>
                <w:rFonts w:ascii="Arial"/>
                <w:sz w:val="21"/>
              </w:rPr>
            </w:pPr>
          </w:p>
        </w:tc>
        <w:tc>
          <w:tcPr>
            <w:tcW w:w="4907" w:type="dxa"/>
            <w:vAlign w:val="top"/>
          </w:tcPr>
          <w:p w14:paraId="54E294C6">
            <w:pPr>
              <w:pStyle w:val="6"/>
              <w:spacing w:before="217" w:line="310" w:lineRule="auto"/>
              <w:ind w:left="110" w:right="104" w:firstLine="17"/>
              <w:jc w:val="both"/>
            </w:pPr>
            <w:r>
              <w:rPr>
                <w:spacing w:val="8"/>
              </w:rPr>
              <w:t>3、制作笔录，告知当事人采取强制措施的理由、依据</w:t>
            </w:r>
            <w:r>
              <w:rPr>
                <w:spacing w:val="9"/>
              </w:rPr>
              <w:t>及当事人依法享有的权利，并当场交付查封、扣押决</w:t>
            </w:r>
            <w:r>
              <w:rPr>
                <w:spacing w:val="8"/>
              </w:rPr>
              <w:t>定书和清单、实施查封、扣押。</w:t>
            </w:r>
          </w:p>
        </w:tc>
        <w:tc>
          <w:tcPr>
            <w:tcW w:w="3769" w:type="dxa"/>
            <w:vMerge w:val="continue"/>
            <w:tcBorders>
              <w:top w:val="nil"/>
              <w:bottom w:val="nil"/>
            </w:tcBorders>
            <w:vAlign w:val="top"/>
          </w:tcPr>
          <w:p w14:paraId="3B145D1F">
            <w:pPr>
              <w:rPr>
                <w:rFonts w:ascii="Arial"/>
                <w:sz w:val="21"/>
              </w:rPr>
            </w:pPr>
          </w:p>
        </w:tc>
      </w:tr>
      <w:tr w14:paraId="146273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7" w:hRule="atLeast"/>
        </w:trPr>
        <w:tc>
          <w:tcPr>
            <w:tcW w:w="724" w:type="dxa"/>
            <w:vMerge w:val="continue"/>
            <w:tcBorders>
              <w:top w:val="nil"/>
              <w:bottom w:val="nil"/>
            </w:tcBorders>
            <w:textDirection w:val="tbRlV"/>
            <w:vAlign w:val="top"/>
          </w:tcPr>
          <w:p w14:paraId="31391451">
            <w:pPr>
              <w:rPr>
                <w:rFonts w:ascii="Arial"/>
                <w:sz w:val="21"/>
              </w:rPr>
            </w:pPr>
          </w:p>
        </w:tc>
        <w:tc>
          <w:tcPr>
            <w:tcW w:w="1260" w:type="dxa"/>
            <w:vMerge w:val="continue"/>
            <w:tcBorders>
              <w:top w:val="nil"/>
              <w:bottom w:val="nil"/>
            </w:tcBorders>
            <w:vAlign w:val="top"/>
          </w:tcPr>
          <w:p w14:paraId="41909EB9">
            <w:pPr>
              <w:rPr>
                <w:rFonts w:ascii="Arial"/>
                <w:sz w:val="21"/>
              </w:rPr>
            </w:pPr>
          </w:p>
        </w:tc>
        <w:tc>
          <w:tcPr>
            <w:tcW w:w="4592" w:type="dxa"/>
            <w:vMerge w:val="continue"/>
            <w:tcBorders>
              <w:top w:val="nil"/>
              <w:bottom w:val="nil"/>
            </w:tcBorders>
            <w:vAlign w:val="top"/>
          </w:tcPr>
          <w:p w14:paraId="202F45A4">
            <w:pPr>
              <w:rPr>
                <w:rFonts w:ascii="Arial"/>
                <w:sz w:val="21"/>
              </w:rPr>
            </w:pPr>
          </w:p>
        </w:tc>
        <w:tc>
          <w:tcPr>
            <w:tcW w:w="4907" w:type="dxa"/>
            <w:vAlign w:val="top"/>
          </w:tcPr>
          <w:p w14:paraId="28465021">
            <w:pPr>
              <w:pStyle w:val="6"/>
              <w:spacing w:before="65" w:line="310" w:lineRule="auto"/>
              <w:ind w:left="113" w:right="104" w:firstLine="6"/>
              <w:jc w:val="both"/>
            </w:pPr>
            <w:r>
              <w:rPr>
                <w:spacing w:val="8"/>
              </w:rPr>
              <w:t>4、行政机关采取查封、扣押措施后，应当及时查清事</w:t>
            </w:r>
            <w:r>
              <w:rPr>
                <w:spacing w:val="9"/>
              </w:rPr>
              <w:t>实，在《中华人民共和国行政强制法》第二十五条规定的期限内作出处理决定。对违法事实清楚，依法应当没收的非法财物予以没收；法律、行政法规规定应当销毁的，依法销毁；应当解除查封、扣押的，作出</w:t>
            </w:r>
            <w:r>
              <w:rPr>
                <w:spacing w:val="8"/>
              </w:rPr>
              <w:t>解除查封、扣押的决定。</w:t>
            </w:r>
          </w:p>
        </w:tc>
        <w:tc>
          <w:tcPr>
            <w:tcW w:w="3769" w:type="dxa"/>
            <w:vMerge w:val="continue"/>
            <w:tcBorders>
              <w:top w:val="nil"/>
              <w:bottom w:val="nil"/>
            </w:tcBorders>
            <w:vAlign w:val="top"/>
          </w:tcPr>
          <w:p w14:paraId="69B7726F">
            <w:pPr>
              <w:rPr>
                <w:rFonts w:ascii="Arial"/>
                <w:sz w:val="21"/>
              </w:rPr>
            </w:pPr>
          </w:p>
        </w:tc>
      </w:tr>
      <w:tr w14:paraId="089D2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24" w:type="dxa"/>
            <w:vMerge w:val="continue"/>
            <w:tcBorders>
              <w:top w:val="nil"/>
            </w:tcBorders>
            <w:textDirection w:val="tbRlV"/>
            <w:vAlign w:val="top"/>
          </w:tcPr>
          <w:p w14:paraId="6577B3C7">
            <w:pPr>
              <w:rPr>
                <w:rFonts w:ascii="Arial"/>
                <w:sz w:val="21"/>
              </w:rPr>
            </w:pPr>
          </w:p>
        </w:tc>
        <w:tc>
          <w:tcPr>
            <w:tcW w:w="1260" w:type="dxa"/>
            <w:vMerge w:val="continue"/>
            <w:tcBorders>
              <w:top w:val="nil"/>
            </w:tcBorders>
            <w:vAlign w:val="top"/>
          </w:tcPr>
          <w:p w14:paraId="430F0C73">
            <w:pPr>
              <w:rPr>
                <w:rFonts w:ascii="Arial"/>
                <w:sz w:val="21"/>
              </w:rPr>
            </w:pPr>
          </w:p>
        </w:tc>
        <w:tc>
          <w:tcPr>
            <w:tcW w:w="4592" w:type="dxa"/>
            <w:vMerge w:val="continue"/>
            <w:tcBorders>
              <w:top w:val="nil"/>
            </w:tcBorders>
            <w:vAlign w:val="top"/>
          </w:tcPr>
          <w:p w14:paraId="657196E1">
            <w:pPr>
              <w:rPr>
                <w:rFonts w:ascii="Arial"/>
                <w:sz w:val="21"/>
              </w:rPr>
            </w:pPr>
          </w:p>
        </w:tc>
        <w:tc>
          <w:tcPr>
            <w:tcW w:w="4907" w:type="dxa"/>
            <w:vAlign w:val="top"/>
          </w:tcPr>
          <w:p w14:paraId="78C88B8F">
            <w:pPr>
              <w:spacing w:line="326" w:lineRule="auto"/>
              <w:rPr>
                <w:rFonts w:ascii="Arial"/>
                <w:sz w:val="21"/>
              </w:rPr>
            </w:pPr>
          </w:p>
          <w:p w14:paraId="43C89180">
            <w:pPr>
              <w:pStyle w:val="6"/>
              <w:spacing w:before="61" w:line="224" w:lineRule="auto"/>
              <w:ind w:left="123"/>
            </w:pPr>
            <w:r>
              <w:rPr>
                <w:spacing w:val="8"/>
              </w:rPr>
              <w:t>5、其他法律法规规章规定应履行的责任。</w:t>
            </w:r>
          </w:p>
        </w:tc>
        <w:tc>
          <w:tcPr>
            <w:tcW w:w="3769" w:type="dxa"/>
            <w:vMerge w:val="continue"/>
            <w:tcBorders>
              <w:top w:val="nil"/>
            </w:tcBorders>
            <w:vAlign w:val="top"/>
          </w:tcPr>
          <w:p w14:paraId="4FBB556B">
            <w:pPr>
              <w:rPr>
                <w:rFonts w:ascii="Arial"/>
                <w:sz w:val="21"/>
              </w:rPr>
            </w:pPr>
          </w:p>
        </w:tc>
      </w:tr>
      <w:tr w14:paraId="3C261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3DF1B27F">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423C8D53">
      <w:pPr>
        <w:pStyle w:val="2"/>
      </w:pPr>
    </w:p>
    <w:p w14:paraId="71FB46C4">
      <w:pPr>
        <w:sectPr>
          <w:footerReference r:id="rId33" w:type="default"/>
          <w:pgSz w:w="16839" w:h="11906"/>
          <w:pgMar w:top="1012" w:right="685" w:bottom="1213" w:left="895" w:header="0" w:footer="938" w:gutter="0"/>
          <w:cols w:space="720" w:num="1"/>
        </w:sectPr>
      </w:pPr>
    </w:p>
    <w:p w14:paraId="63D0C146">
      <w:pPr>
        <w:spacing w:before="36"/>
      </w:pPr>
    </w:p>
    <w:p w14:paraId="07C8C34E">
      <w:pPr>
        <w:spacing w:before="36"/>
      </w:pPr>
    </w:p>
    <w:p w14:paraId="6BBAB136">
      <w:pPr>
        <w:spacing w:before="36"/>
      </w:pPr>
    </w:p>
    <w:p w14:paraId="00C992B6">
      <w:pPr>
        <w:spacing w:before="3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2628"/>
        <w:gridCol w:w="4154"/>
        <w:gridCol w:w="3978"/>
        <w:gridCol w:w="3768"/>
      </w:tblGrid>
      <w:tr w14:paraId="5DD155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3B82C041">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632F8CA8">
            <w:pPr>
              <w:spacing w:before="33" w:line="212"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2628" w:type="dxa"/>
            <w:vAlign w:val="top"/>
          </w:tcPr>
          <w:p w14:paraId="61EF10F5">
            <w:pPr>
              <w:spacing w:before="190" w:line="228" w:lineRule="auto"/>
              <w:ind w:left="897"/>
              <w:rPr>
                <w:rFonts w:ascii="宋体" w:hAnsi="宋体" w:eastAsia="宋体" w:cs="宋体"/>
                <w:sz w:val="20"/>
                <w:szCs w:val="20"/>
              </w:rPr>
            </w:pPr>
            <w:r>
              <w:rPr>
                <w:rFonts w:ascii="宋体" w:hAnsi="宋体" w:eastAsia="宋体" w:cs="宋体"/>
                <w:b/>
                <w:bCs/>
                <w:spacing w:val="6"/>
                <w:sz w:val="20"/>
                <w:szCs w:val="20"/>
              </w:rPr>
              <w:t>职权名称</w:t>
            </w:r>
          </w:p>
        </w:tc>
        <w:tc>
          <w:tcPr>
            <w:tcW w:w="4154" w:type="dxa"/>
            <w:vAlign w:val="top"/>
          </w:tcPr>
          <w:p w14:paraId="4D7E00A4">
            <w:pPr>
              <w:spacing w:before="190" w:line="228" w:lineRule="auto"/>
              <w:ind w:left="1664"/>
              <w:rPr>
                <w:rFonts w:ascii="宋体" w:hAnsi="宋体" w:eastAsia="宋体" w:cs="宋体"/>
                <w:sz w:val="20"/>
                <w:szCs w:val="20"/>
              </w:rPr>
            </w:pPr>
            <w:r>
              <w:rPr>
                <w:rFonts w:ascii="宋体" w:hAnsi="宋体" w:eastAsia="宋体" w:cs="宋体"/>
                <w:b/>
                <w:bCs/>
                <w:spacing w:val="5"/>
                <w:sz w:val="20"/>
                <w:szCs w:val="20"/>
              </w:rPr>
              <w:t>实施依据</w:t>
            </w:r>
          </w:p>
        </w:tc>
        <w:tc>
          <w:tcPr>
            <w:tcW w:w="3978" w:type="dxa"/>
            <w:vAlign w:val="top"/>
          </w:tcPr>
          <w:p w14:paraId="3000CCAC">
            <w:pPr>
              <w:spacing w:before="190" w:line="228" w:lineRule="auto"/>
              <w:ind w:left="1000"/>
              <w:rPr>
                <w:rFonts w:ascii="宋体" w:hAnsi="宋体" w:eastAsia="宋体" w:cs="宋体"/>
                <w:sz w:val="20"/>
                <w:szCs w:val="20"/>
              </w:rPr>
            </w:pPr>
            <w:r>
              <w:rPr>
                <w:rFonts w:ascii="宋体" w:hAnsi="宋体" w:eastAsia="宋体" w:cs="宋体"/>
                <w:b/>
                <w:bCs/>
                <w:spacing w:val="6"/>
                <w:sz w:val="20"/>
                <w:szCs w:val="20"/>
              </w:rPr>
              <w:t>责任事项（岗位责任)</w:t>
            </w:r>
          </w:p>
        </w:tc>
        <w:tc>
          <w:tcPr>
            <w:tcW w:w="3768" w:type="dxa"/>
            <w:vAlign w:val="top"/>
          </w:tcPr>
          <w:p w14:paraId="5EE629B2">
            <w:pPr>
              <w:spacing w:before="190" w:line="228" w:lineRule="auto"/>
              <w:ind w:left="1467"/>
              <w:rPr>
                <w:rFonts w:ascii="宋体" w:hAnsi="宋体" w:eastAsia="宋体" w:cs="宋体"/>
                <w:sz w:val="20"/>
                <w:szCs w:val="20"/>
              </w:rPr>
            </w:pPr>
            <w:r>
              <w:rPr>
                <w:rFonts w:ascii="宋体" w:hAnsi="宋体" w:eastAsia="宋体" w:cs="宋体"/>
                <w:b/>
                <w:bCs/>
                <w:spacing w:val="6"/>
                <w:sz w:val="20"/>
                <w:szCs w:val="20"/>
              </w:rPr>
              <w:t>违法责任</w:t>
            </w:r>
          </w:p>
        </w:tc>
      </w:tr>
      <w:tr w14:paraId="203C6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 w:hRule="atLeast"/>
        </w:trPr>
        <w:tc>
          <w:tcPr>
            <w:tcW w:w="724" w:type="dxa"/>
            <w:vMerge w:val="restart"/>
            <w:tcBorders>
              <w:bottom w:val="nil"/>
            </w:tcBorders>
            <w:textDirection w:val="tbRlV"/>
            <w:vAlign w:val="top"/>
          </w:tcPr>
          <w:p w14:paraId="2CB7EEDD">
            <w:pPr>
              <w:pStyle w:val="6"/>
              <w:spacing w:before="255" w:line="213" w:lineRule="auto"/>
              <w:ind w:left="2338"/>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2628" w:type="dxa"/>
            <w:vMerge w:val="restart"/>
            <w:tcBorders>
              <w:bottom w:val="nil"/>
            </w:tcBorders>
            <w:vAlign w:val="top"/>
          </w:tcPr>
          <w:p w14:paraId="6FB9125E">
            <w:pPr>
              <w:spacing w:line="281" w:lineRule="auto"/>
              <w:rPr>
                <w:rFonts w:ascii="Arial"/>
                <w:sz w:val="21"/>
              </w:rPr>
            </w:pPr>
          </w:p>
          <w:p w14:paraId="4166F71E">
            <w:pPr>
              <w:spacing w:line="281" w:lineRule="auto"/>
              <w:rPr>
                <w:rFonts w:ascii="Arial"/>
                <w:sz w:val="21"/>
              </w:rPr>
            </w:pPr>
          </w:p>
          <w:p w14:paraId="0A8529A6">
            <w:pPr>
              <w:spacing w:line="281" w:lineRule="auto"/>
              <w:rPr>
                <w:rFonts w:ascii="Arial"/>
                <w:sz w:val="21"/>
              </w:rPr>
            </w:pPr>
          </w:p>
          <w:p w14:paraId="1CD76141">
            <w:pPr>
              <w:spacing w:line="281" w:lineRule="auto"/>
              <w:rPr>
                <w:rFonts w:ascii="Arial"/>
                <w:sz w:val="21"/>
              </w:rPr>
            </w:pPr>
          </w:p>
          <w:p w14:paraId="0AC774EB">
            <w:pPr>
              <w:spacing w:line="282" w:lineRule="auto"/>
              <w:rPr>
                <w:rFonts w:ascii="Arial"/>
                <w:sz w:val="21"/>
              </w:rPr>
            </w:pPr>
          </w:p>
          <w:p w14:paraId="617F0FBC">
            <w:pPr>
              <w:pStyle w:val="6"/>
              <w:spacing w:before="62" w:line="310" w:lineRule="auto"/>
              <w:ind w:left="109" w:right="107" w:firstLine="17"/>
            </w:pPr>
            <w:r>
              <w:rPr>
                <w:spacing w:val="6"/>
              </w:rPr>
              <w:t>30.向有关单位和个人了解</w:t>
            </w:r>
            <w:r>
              <w:rPr>
                <w:spacing w:val="9"/>
              </w:rPr>
              <w:t>情况；查阅或者复制有关合同、票据、账簿、购销记录</w:t>
            </w:r>
            <w:r>
              <w:rPr>
                <w:spacing w:val="2"/>
              </w:rPr>
              <w:t>及其他有关资料;查封、扣押</w:t>
            </w:r>
            <w:r>
              <w:rPr>
                <w:spacing w:val="9"/>
              </w:rPr>
              <w:t>与涉嫌盐业违法行为有关的</w:t>
            </w:r>
            <w:r>
              <w:rPr>
                <w:spacing w:val="5"/>
              </w:rPr>
              <w:t>食盐及原材料，</w:t>
            </w:r>
            <w:r>
              <w:rPr>
                <w:spacing w:val="-42"/>
              </w:rPr>
              <w:t xml:space="preserve"> </w:t>
            </w:r>
            <w:r>
              <w:rPr>
                <w:spacing w:val="5"/>
              </w:rPr>
              <w:t>以及用于违</w:t>
            </w:r>
            <w:r>
              <w:rPr>
                <w:spacing w:val="9"/>
              </w:rPr>
              <w:t>法生产或者销售食盐的工</w:t>
            </w:r>
          </w:p>
          <w:p w14:paraId="011AE331">
            <w:pPr>
              <w:pStyle w:val="6"/>
              <w:spacing w:line="310" w:lineRule="auto"/>
              <w:ind w:left="111" w:right="107" w:firstLine="6"/>
            </w:pPr>
            <w:r>
              <w:rPr>
                <w:spacing w:val="1"/>
              </w:rPr>
              <w:t>具、设备;查封涉嫌违法生产</w:t>
            </w:r>
            <w:r>
              <w:rPr>
                <w:spacing w:val="9"/>
              </w:rPr>
              <w:t>或者销售食盐的场所</w:t>
            </w:r>
          </w:p>
        </w:tc>
        <w:tc>
          <w:tcPr>
            <w:tcW w:w="4154" w:type="dxa"/>
            <w:vMerge w:val="restart"/>
            <w:tcBorders>
              <w:bottom w:val="nil"/>
            </w:tcBorders>
            <w:vAlign w:val="top"/>
          </w:tcPr>
          <w:p w14:paraId="0AE8837B">
            <w:pPr>
              <w:spacing w:line="281" w:lineRule="auto"/>
              <w:rPr>
                <w:rFonts w:ascii="Arial"/>
                <w:sz w:val="21"/>
              </w:rPr>
            </w:pPr>
          </w:p>
          <w:p w14:paraId="173B7763">
            <w:pPr>
              <w:spacing w:line="281" w:lineRule="auto"/>
              <w:rPr>
                <w:rFonts w:ascii="Arial"/>
                <w:sz w:val="21"/>
              </w:rPr>
            </w:pPr>
          </w:p>
          <w:p w14:paraId="22AAD188">
            <w:pPr>
              <w:spacing w:line="282" w:lineRule="auto"/>
              <w:rPr>
                <w:rFonts w:ascii="Arial"/>
                <w:sz w:val="21"/>
              </w:rPr>
            </w:pPr>
          </w:p>
          <w:p w14:paraId="42B4F8D5">
            <w:pPr>
              <w:spacing w:line="282" w:lineRule="auto"/>
              <w:rPr>
                <w:rFonts w:ascii="Arial"/>
                <w:sz w:val="21"/>
              </w:rPr>
            </w:pPr>
          </w:p>
          <w:p w14:paraId="1F39A038">
            <w:pPr>
              <w:spacing w:line="282" w:lineRule="auto"/>
              <w:rPr>
                <w:rFonts w:ascii="Arial"/>
                <w:sz w:val="21"/>
              </w:rPr>
            </w:pPr>
          </w:p>
          <w:p w14:paraId="38FE2D90">
            <w:pPr>
              <w:pStyle w:val="6"/>
              <w:spacing w:before="62" w:line="310" w:lineRule="auto"/>
              <w:ind w:left="117" w:right="107" w:hanging="9"/>
            </w:pPr>
            <w:r>
              <w:rPr>
                <w:spacing w:val="1"/>
              </w:rPr>
              <w:t>《食盐专营办法》（</w:t>
            </w:r>
            <w:r>
              <w:rPr>
                <w:spacing w:val="-25"/>
              </w:rPr>
              <w:t xml:space="preserve"> </w:t>
            </w:r>
            <w:r>
              <w:rPr>
                <w:spacing w:val="1"/>
              </w:rPr>
              <w:t>国务院令第</w:t>
            </w:r>
            <w:r>
              <w:rPr>
                <w:spacing w:val="-24"/>
              </w:rPr>
              <w:t xml:space="preserve"> </w:t>
            </w:r>
            <w:r>
              <w:rPr>
                <w:spacing w:val="1"/>
              </w:rPr>
              <w:t>696</w:t>
            </w:r>
            <w:r>
              <w:rPr>
                <w:spacing w:val="-30"/>
              </w:rPr>
              <w:t xml:space="preserve"> </w:t>
            </w:r>
            <w:r>
              <w:rPr>
                <w:spacing w:val="1"/>
              </w:rPr>
              <w:t>号）第二</w:t>
            </w:r>
            <w:r>
              <w:rPr>
                <w:spacing w:val="8"/>
              </w:rPr>
              <w:t>十三条  盐业主管部门依法履行监督检查职</w:t>
            </w:r>
            <w:r>
              <w:rPr>
                <w:spacing w:val="7"/>
              </w:rPr>
              <w:t>责，可以采取下列措施：</w:t>
            </w:r>
          </w:p>
          <w:p w14:paraId="4361EA1A">
            <w:pPr>
              <w:pStyle w:val="6"/>
              <w:spacing w:before="3" w:line="309" w:lineRule="auto"/>
              <w:ind w:left="108" w:right="104"/>
            </w:pPr>
            <w:r>
              <w:rPr>
                <w:spacing w:val="1"/>
              </w:rPr>
              <w:t>（</w:t>
            </w:r>
            <w:r>
              <w:rPr>
                <w:spacing w:val="-46"/>
              </w:rPr>
              <w:t xml:space="preserve"> </w:t>
            </w:r>
            <w:r>
              <w:rPr>
                <w:spacing w:val="1"/>
              </w:rPr>
              <w:t>一</w:t>
            </w:r>
            <w:r>
              <w:rPr>
                <w:spacing w:val="-38"/>
              </w:rPr>
              <w:t xml:space="preserve"> </w:t>
            </w:r>
            <w:r>
              <w:rPr>
                <w:spacing w:val="1"/>
              </w:rPr>
              <w:t>）向有关单位和个人了解情况</w:t>
            </w:r>
            <w:r>
              <w:rPr>
                <w:spacing w:val="-19"/>
              </w:rPr>
              <w:t>；（</w:t>
            </w:r>
            <w:r>
              <w:rPr>
                <w:spacing w:val="-49"/>
              </w:rPr>
              <w:t xml:space="preserve"> </w:t>
            </w:r>
            <w:r>
              <w:rPr>
                <w:spacing w:val="1"/>
              </w:rPr>
              <w:t>二）查</w:t>
            </w:r>
            <w:r>
              <w:rPr>
                <w:spacing w:val="6"/>
              </w:rPr>
              <w:t>阅或者复制有关合同、票据、账簿、购销记录及其他有关资料</w:t>
            </w:r>
            <w:r>
              <w:rPr>
                <w:spacing w:val="-13"/>
              </w:rPr>
              <w:t>；（</w:t>
            </w:r>
            <w:r>
              <w:rPr>
                <w:spacing w:val="-43"/>
              </w:rPr>
              <w:t xml:space="preserve"> </w:t>
            </w:r>
            <w:r>
              <w:rPr>
                <w:spacing w:val="6"/>
              </w:rPr>
              <w:t>三）查封、扣押与涉嫌盐业违法行为有关的食盐及原材料，以及用于违法生产或者销售食盐的工具、设备</w:t>
            </w:r>
            <w:r>
              <w:rPr>
                <w:spacing w:val="-18"/>
              </w:rPr>
              <w:t>；（</w:t>
            </w:r>
            <w:r>
              <w:rPr>
                <w:spacing w:val="-36"/>
              </w:rPr>
              <w:t xml:space="preserve"> </w:t>
            </w:r>
            <w:r>
              <w:rPr>
                <w:spacing w:val="6"/>
              </w:rPr>
              <w:t>四）查</w:t>
            </w:r>
            <w:r>
              <w:rPr>
                <w:spacing w:val="9"/>
              </w:rPr>
              <w:t>封涉嫌违法生产或者销售食盐的场所。</w:t>
            </w:r>
          </w:p>
        </w:tc>
        <w:tc>
          <w:tcPr>
            <w:tcW w:w="3978" w:type="dxa"/>
            <w:vAlign w:val="top"/>
          </w:tcPr>
          <w:p w14:paraId="7D6376D7">
            <w:pPr>
              <w:spacing w:line="323" w:lineRule="auto"/>
              <w:rPr>
                <w:rFonts w:ascii="Arial"/>
                <w:sz w:val="21"/>
              </w:rPr>
            </w:pPr>
          </w:p>
          <w:p w14:paraId="7D040F08">
            <w:pPr>
              <w:pStyle w:val="6"/>
              <w:spacing w:before="62" w:line="224" w:lineRule="auto"/>
              <w:ind w:right="14"/>
              <w:jc w:val="right"/>
            </w:pPr>
            <w:r>
              <w:rPr>
                <w:spacing w:val="6"/>
              </w:rPr>
              <w:t>1、核实违法事实，报行政机关负责人批准。</w:t>
            </w:r>
          </w:p>
        </w:tc>
        <w:tc>
          <w:tcPr>
            <w:tcW w:w="3768" w:type="dxa"/>
            <w:vMerge w:val="restart"/>
            <w:tcBorders>
              <w:bottom w:val="nil"/>
            </w:tcBorders>
            <w:vAlign w:val="top"/>
          </w:tcPr>
          <w:p w14:paraId="5EF27A41">
            <w:pPr>
              <w:spacing w:line="266" w:lineRule="auto"/>
              <w:rPr>
                <w:rFonts w:ascii="Arial"/>
                <w:sz w:val="21"/>
              </w:rPr>
            </w:pPr>
          </w:p>
          <w:p w14:paraId="3DCDAAAA">
            <w:pPr>
              <w:spacing w:line="266" w:lineRule="auto"/>
              <w:rPr>
                <w:rFonts w:ascii="Arial"/>
                <w:sz w:val="21"/>
              </w:rPr>
            </w:pPr>
          </w:p>
          <w:p w14:paraId="4552BB30">
            <w:pPr>
              <w:spacing w:line="266" w:lineRule="auto"/>
              <w:rPr>
                <w:rFonts w:ascii="Arial"/>
                <w:sz w:val="21"/>
              </w:rPr>
            </w:pPr>
          </w:p>
          <w:p w14:paraId="04C14695">
            <w:pPr>
              <w:spacing w:line="266" w:lineRule="auto"/>
              <w:rPr>
                <w:rFonts w:ascii="Arial"/>
                <w:sz w:val="21"/>
              </w:rPr>
            </w:pPr>
          </w:p>
          <w:p w14:paraId="2A91F1F7">
            <w:pPr>
              <w:spacing w:line="266" w:lineRule="auto"/>
              <w:rPr>
                <w:rFonts w:ascii="Arial"/>
                <w:sz w:val="21"/>
              </w:rPr>
            </w:pPr>
          </w:p>
          <w:p w14:paraId="1A8FA712">
            <w:pPr>
              <w:spacing w:line="267" w:lineRule="auto"/>
              <w:rPr>
                <w:rFonts w:ascii="Arial"/>
                <w:sz w:val="21"/>
              </w:rPr>
            </w:pPr>
          </w:p>
          <w:p w14:paraId="50717052">
            <w:pPr>
              <w:spacing w:line="267" w:lineRule="auto"/>
              <w:rPr>
                <w:rFonts w:ascii="Arial"/>
                <w:sz w:val="21"/>
              </w:rPr>
            </w:pPr>
          </w:p>
          <w:p w14:paraId="7FB18E70">
            <w:pPr>
              <w:spacing w:line="267" w:lineRule="auto"/>
              <w:rPr>
                <w:rFonts w:ascii="Arial"/>
                <w:sz w:val="21"/>
              </w:rPr>
            </w:pPr>
          </w:p>
          <w:p w14:paraId="4686277A">
            <w:pPr>
              <w:spacing w:line="267" w:lineRule="auto"/>
              <w:rPr>
                <w:rFonts w:ascii="Arial"/>
                <w:sz w:val="21"/>
              </w:rPr>
            </w:pPr>
          </w:p>
          <w:p w14:paraId="5C013866">
            <w:pPr>
              <w:pStyle w:val="6"/>
              <w:spacing w:before="65" w:line="259" w:lineRule="auto"/>
              <w:ind w:left="113"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613B2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trPr>
        <w:tc>
          <w:tcPr>
            <w:tcW w:w="724" w:type="dxa"/>
            <w:vMerge w:val="continue"/>
            <w:tcBorders>
              <w:top w:val="nil"/>
              <w:bottom w:val="nil"/>
            </w:tcBorders>
            <w:textDirection w:val="tbRlV"/>
            <w:vAlign w:val="top"/>
          </w:tcPr>
          <w:p w14:paraId="7BD969DC">
            <w:pPr>
              <w:rPr>
                <w:rFonts w:ascii="Arial"/>
                <w:sz w:val="21"/>
              </w:rPr>
            </w:pPr>
          </w:p>
        </w:tc>
        <w:tc>
          <w:tcPr>
            <w:tcW w:w="2628" w:type="dxa"/>
            <w:vMerge w:val="continue"/>
            <w:tcBorders>
              <w:top w:val="nil"/>
              <w:bottom w:val="nil"/>
            </w:tcBorders>
            <w:vAlign w:val="top"/>
          </w:tcPr>
          <w:p w14:paraId="069EE4B1">
            <w:pPr>
              <w:rPr>
                <w:rFonts w:ascii="Arial"/>
                <w:sz w:val="21"/>
              </w:rPr>
            </w:pPr>
          </w:p>
        </w:tc>
        <w:tc>
          <w:tcPr>
            <w:tcW w:w="4154" w:type="dxa"/>
            <w:vMerge w:val="continue"/>
            <w:tcBorders>
              <w:top w:val="nil"/>
              <w:bottom w:val="nil"/>
            </w:tcBorders>
            <w:vAlign w:val="top"/>
          </w:tcPr>
          <w:p w14:paraId="48A1CA41">
            <w:pPr>
              <w:rPr>
                <w:rFonts w:ascii="Arial"/>
                <w:sz w:val="21"/>
              </w:rPr>
            </w:pPr>
          </w:p>
        </w:tc>
        <w:tc>
          <w:tcPr>
            <w:tcW w:w="3978" w:type="dxa"/>
            <w:vAlign w:val="top"/>
          </w:tcPr>
          <w:p w14:paraId="37B04752">
            <w:pPr>
              <w:pStyle w:val="6"/>
              <w:spacing w:before="295" w:line="224" w:lineRule="auto"/>
              <w:ind w:left="122"/>
            </w:pPr>
            <w:r>
              <w:rPr>
                <w:spacing w:val="7"/>
              </w:rPr>
              <w:t>2、依法作出处理决定。</w:t>
            </w:r>
          </w:p>
        </w:tc>
        <w:tc>
          <w:tcPr>
            <w:tcW w:w="3768" w:type="dxa"/>
            <w:vMerge w:val="continue"/>
            <w:tcBorders>
              <w:top w:val="nil"/>
              <w:bottom w:val="nil"/>
            </w:tcBorders>
            <w:vAlign w:val="top"/>
          </w:tcPr>
          <w:p w14:paraId="052CD764">
            <w:pPr>
              <w:rPr>
                <w:rFonts w:ascii="Arial"/>
                <w:sz w:val="21"/>
              </w:rPr>
            </w:pPr>
          </w:p>
        </w:tc>
      </w:tr>
      <w:tr w14:paraId="76F29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0" w:hRule="atLeast"/>
        </w:trPr>
        <w:tc>
          <w:tcPr>
            <w:tcW w:w="724" w:type="dxa"/>
            <w:vMerge w:val="continue"/>
            <w:tcBorders>
              <w:top w:val="nil"/>
              <w:bottom w:val="nil"/>
            </w:tcBorders>
            <w:textDirection w:val="tbRlV"/>
            <w:vAlign w:val="top"/>
          </w:tcPr>
          <w:p w14:paraId="0C6C264B">
            <w:pPr>
              <w:rPr>
                <w:rFonts w:ascii="Arial"/>
                <w:sz w:val="21"/>
              </w:rPr>
            </w:pPr>
          </w:p>
        </w:tc>
        <w:tc>
          <w:tcPr>
            <w:tcW w:w="2628" w:type="dxa"/>
            <w:vMerge w:val="continue"/>
            <w:tcBorders>
              <w:top w:val="nil"/>
              <w:bottom w:val="nil"/>
            </w:tcBorders>
            <w:vAlign w:val="top"/>
          </w:tcPr>
          <w:p w14:paraId="4F864498">
            <w:pPr>
              <w:rPr>
                <w:rFonts w:ascii="Arial"/>
                <w:sz w:val="21"/>
              </w:rPr>
            </w:pPr>
          </w:p>
        </w:tc>
        <w:tc>
          <w:tcPr>
            <w:tcW w:w="4154" w:type="dxa"/>
            <w:vMerge w:val="continue"/>
            <w:tcBorders>
              <w:top w:val="nil"/>
              <w:bottom w:val="nil"/>
            </w:tcBorders>
            <w:vAlign w:val="top"/>
          </w:tcPr>
          <w:p w14:paraId="1814DBD4">
            <w:pPr>
              <w:rPr>
                <w:rFonts w:ascii="Arial"/>
                <w:sz w:val="21"/>
              </w:rPr>
            </w:pPr>
          </w:p>
        </w:tc>
        <w:tc>
          <w:tcPr>
            <w:tcW w:w="3978" w:type="dxa"/>
            <w:vAlign w:val="top"/>
          </w:tcPr>
          <w:p w14:paraId="0341713E">
            <w:pPr>
              <w:pStyle w:val="6"/>
              <w:spacing w:before="63" w:line="293" w:lineRule="auto"/>
              <w:ind w:left="113" w:right="46" w:firstLine="16"/>
              <w:jc w:val="both"/>
            </w:pPr>
            <w:r>
              <w:rPr>
                <w:spacing w:val="8"/>
              </w:rPr>
              <w:t>3、制作笔录，告知当事人采取强制措施的</w:t>
            </w:r>
            <w:r>
              <w:rPr>
                <w:spacing w:val="7"/>
              </w:rPr>
              <w:t>理由、依据及当事人依法享有的权利，并当</w:t>
            </w:r>
            <w:r>
              <w:t>场交付查封、扣押决定书和清单、实施查封、</w:t>
            </w:r>
            <w:r>
              <w:rPr>
                <w:spacing w:val="3"/>
              </w:rPr>
              <w:t>扣押。</w:t>
            </w:r>
          </w:p>
        </w:tc>
        <w:tc>
          <w:tcPr>
            <w:tcW w:w="3768" w:type="dxa"/>
            <w:vMerge w:val="continue"/>
            <w:tcBorders>
              <w:top w:val="nil"/>
              <w:bottom w:val="nil"/>
            </w:tcBorders>
            <w:vAlign w:val="top"/>
          </w:tcPr>
          <w:p w14:paraId="146A5A2F">
            <w:pPr>
              <w:rPr>
                <w:rFonts w:ascii="Arial"/>
                <w:sz w:val="21"/>
              </w:rPr>
            </w:pPr>
          </w:p>
        </w:tc>
      </w:tr>
      <w:tr w14:paraId="73233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5" w:hRule="atLeast"/>
        </w:trPr>
        <w:tc>
          <w:tcPr>
            <w:tcW w:w="724" w:type="dxa"/>
            <w:vMerge w:val="continue"/>
            <w:tcBorders>
              <w:top w:val="nil"/>
              <w:bottom w:val="nil"/>
            </w:tcBorders>
            <w:textDirection w:val="tbRlV"/>
            <w:vAlign w:val="top"/>
          </w:tcPr>
          <w:p w14:paraId="4984FDEA">
            <w:pPr>
              <w:rPr>
                <w:rFonts w:ascii="Arial"/>
                <w:sz w:val="21"/>
              </w:rPr>
            </w:pPr>
          </w:p>
        </w:tc>
        <w:tc>
          <w:tcPr>
            <w:tcW w:w="2628" w:type="dxa"/>
            <w:vMerge w:val="continue"/>
            <w:tcBorders>
              <w:top w:val="nil"/>
              <w:bottom w:val="nil"/>
            </w:tcBorders>
            <w:vAlign w:val="top"/>
          </w:tcPr>
          <w:p w14:paraId="3A96105B">
            <w:pPr>
              <w:rPr>
                <w:rFonts w:ascii="Arial"/>
                <w:sz w:val="21"/>
              </w:rPr>
            </w:pPr>
          </w:p>
        </w:tc>
        <w:tc>
          <w:tcPr>
            <w:tcW w:w="4154" w:type="dxa"/>
            <w:vMerge w:val="continue"/>
            <w:tcBorders>
              <w:top w:val="nil"/>
              <w:bottom w:val="nil"/>
            </w:tcBorders>
            <w:vAlign w:val="top"/>
          </w:tcPr>
          <w:p w14:paraId="448A02AF">
            <w:pPr>
              <w:rPr>
                <w:rFonts w:ascii="Arial"/>
                <w:sz w:val="21"/>
              </w:rPr>
            </w:pPr>
          </w:p>
        </w:tc>
        <w:tc>
          <w:tcPr>
            <w:tcW w:w="3978" w:type="dxa"/>
            <w:vAlign w:val="top"/>
          </w:tcPr>
          <w:p w14:paraId="1AEA67A5">
            <w:pPr>
              <w:pStyle w:val="6"/>
              <w:spacing w:before="64" w:line="310" w:lineRule="auto"/>
              <w:ind w:left="111" w:right="103" w:firstLine="9"/>
              <w:jc w:val="both"/>
            </w:pPr>
            <w:r>
              <w:rPr>
                <w:spacing w:val="8"/>
              </w:rPr>
              <w:t>4、行政机关采取查封、扣押措施后，应当</w:t>
            </w:r>
            <w:r>
              <w:rPr>
                <w:spacing w:val="7"/>
              </w:rPr>
              <w:t>及时查清事实，在《中华人民共和国行政强制法》第二十五条规定的期限内作出处理决定。对违法事实清楚，依法应当没收的非法财物予以没收；法律、行政法规规定应当销毁的，依法销毁；应当解除查封、扣押的，</w:t>
            </w:r>
            <w:r>
              <w:rPr>
                <w:spacing w:val="8"/>
              </w:rPr>
              <w:t>作出解除查封、扣押的决定。</w:t>
            </w:r>
          </w:p>
        </w:tc>
        <w:tc>
          <w:tcPr>
            <w:tcW w:w="3768" w:type="dxa"/>
            <w:vMerge w:val="continue"/>
            <w:tcBorders>
              <w:top w:val="nil"/>
              <w:bottom w:val="nil"/>
            </w:tcBorders>
            <w:vAlign w:val="top"/>
          </w:tcPr>
          <w:p w14:paraId="033984A4">
            <w:pPr>
              <w:rPr>
                <w:rFonts w:ascii="Arial"/>
                <w:sz w:val="21"/>
              </w:rPr>
            </w:pPr>
          </w:p>
        </w:tc>
      </w:tr>
      <w:tr w14:paraId="58D1C0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2DF9D5E1">
            <w:pPr>
              <w:rPr>
                <w:rFonts w:ascii="Arial"/>
                <w:sz w:val="21"/>
              </w:rPr>
            </w:pPr>
          </w:p>
        </w:tc>
        <w:tc>
          <w:tcPr>
            <w:tcW w:w="2628" w:type="dxa"/>
            <w:vMerge w:val="continue"/>
            <w:tcBorders>
              <w:top w:val="nil"/>
            </w:tcBorders>
            <w:vAlign w:val="top"/>
          </w:tcPr>
          <w:p w14:paraId="47DE9A23">
            <w:pPr>
              <w:rPr>
                <w:rFonts w:ascii="Arial"/>
                <w:sz w:val="21"/>
              </w:rPr>
            </w:pPr>
          </w:p>
        </w:tc>
        <w:tc>
          <w:tcPr>
            <w:tcW w:w="4154" w:type="dxa"/>
            <w:vMerge w:val="continue"/>
            <w:tcBorders>
              <w:top w:val="nil"/>
            </w:tcBorders>
            <w:vAlign w:val="top"/>
          </w:tcPr>
          <w:p w14:paraId="3202C766">
            <w:pPr>
              <w:rPr>
                <w:rFonts w:ascii="Arial"/>
                <w:sz w:val="21"/>
              </w:rPr>
            </w:pPr>
          </w:p>
        </w:tc>
        <w:tc>
          <w:tcPr>
            <w:tcW w:w="3978" w:type="dxa"/>
            <w:vAlign w:val="top"/>
          </w:tcPr>
          <w:p w14:paraId="41E29F24">
            <w:pPr>
              <w:pStyle w:val="6"/>
              <w:spacing w:before="89" w:line="224" w:lineRule="auto"/>
              <w:ind w:left="124"/>
            </w:pPr>
            <w:r>
              <w:rPr>
                <w:spacing w:val="8"/>
              </w:rPr>
              <w:t>5、其他法律法规规章规定应履行的责任。</w:t>
            </w:r>
          </w:p>
        </w:tc>
        <w:tc>
          <w:tcPr>
            <w:tcW w:w="3768" w:type="dxa"/>
            <w:vMerge w:val="continue"/>
            <w:tcBorders>
              <w:top w:val="nil"/>
            </w:tcBorders>
            <w:vAlign w:val="top"/>
          </w:tcPr>
          <w:p w14:paraId="25AEBAC8">
            <w:pPr>
              <w:rPr>
                <w:rFonts w:ascii="Arial"/>
                <w:sz w:val="21"/>
              </w:rPr>
            </w:pPr>
          </w:p>
        </w:tc>
      </w:tr>
      <w:tr w14:paraId="4D158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4F6E0810">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78F54B9D">
      <w:pPr>
        <w:pStyle w:val="2"/>
      </w:pPr>
    </w:p>
    <w:p w14:paraId="613C61BA">
      <w:pPr>
        <w:sectPr>
          <w:footerReference r:id="rId34" w:type="default"/>
          <w:pgSz w:w="16839" w:h="11906"/>
          <w:pgMar w:top="1012" w:right="685" w:bottom="1213" w:left="895" w:header="0" w:footer="938" w:gutter="0"/>
          <w:cols w:space="720" w:num="1"/>
        </w:sectPr>
      </w:pPr>
    </w:p>
    <w:p w14:paraId="67342B3E">
      <w:pPr>
        <w:spacing w:before="17"/>
      </w:pPr>
    </w:p>
    <w:p w14:paraId="465D69AE">
      <w:pPr>
        <w:spacing w:before="17"/>
      </w:pPr>
    </w:p>
    <w:p w14:paraId="11F17241">
      <w:pPr>
        <w:spacing w:before="17"/>
      </w:pPr>
    </w:p>
    <w:p w14:paraId="09F1811A">
      <w:pPr>
        <w:spacing w:before="17"/>
      </w:pPr>
    </w:p>
    <w:p w14:paraId="436E215F">
      <w:pPr>
        <w:spacing w:before="17"/>
      </w:pPr>
    </w:p>
    <w:p w14:paraId="7BB1CC54">
      <w:pPr>
        <w:spacing w:before="17"/>
      </w:pPr>
    </w:p>
    <w:p w14:paraId="5D8FEB9F">
      <w:pPr>
        <w:spacing w:before="17"/>
      </w:pPr>
    </w:p>
    <w:p w14:paraId="0BB14923">
      <w:pPr>
        <w:spacing w:before="16"/>
      </w:pPr>
    </w:p>
    <w:tbl>
      <w:tblPr>
        <w:tblStyle w:val="5"/>
        <w:tblW w:w="152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4"/>
        <w:gridCol w:w="1260"/>
        <w:gridCol w:w="4742"/>
        <w:gridCol w:w="4757"/>
        <w:gridCol w:w="3769"/>
      </w:tblGrid>
      <w:tr w14:paraId="3D7E9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24" w:type="dxa"/>
            <w:vAlign w:val="top"/>
          </w:tcPr>
          <w:p w14:paraId="3C056D58">
            <w:pPr>
              <w:spacing w:before="49" w:line="228" w:lineRule="auto"/>
              <w:ind w:left="157"/>
              <w:rPr>
                <w:rFonts w:ascii="宋体" w:hAnsi="宋体" w:eastAsia="宋体" w:cs="宋体"/>
                <w:sz w:val="20"/>
                <w:szCs w:val="20"/>
              </w:rPr>
            </w:pPr>
            <w:r>
              <w:rPr>
                <w:rFonts w:ascii="宋体" w:hAnsi="宋体" w:eastAsia="宋体" w:cs="宋体"/>
                <w:b/>
                <w:bCs/>
                <w:spacing w:val="3"/>
                <w:sz w:val="20"/>
                <w:szCs w:val="20"/>
              </w:rPr>
              <w:t>职权</w:t>
            </w:r>
          </w:p>
          <w:p w14:paraId="5697A157">
            <w:pPr>
              <w:spacing w:before="33" w:line="211" w:lineRule="auto"/>
              <w:ind w:left="156"/>
              <w:rPr>
                <w:rFonts w:ascii="宋体" w:hAnsi="宋体" w:eastAsia="宋体" w:cs="宋体"/>
                <w:sz w:val="20"/>
                <w:szCs w:val="20"/>
              </w:rPr>
            </w:pPr>
            <w:r>
              <w:rPr>
                <w:rFonts w:ascii="宋体" w:hAnsi="宋体" w:eastAsia="宋体" w:cs="宋体"/>
                <w:b/>
                <w:bCs/>
                <w:spacing w:val="3"/>
                <w:sz w:val="20"/>
                <w:szCs w:val="20"/>
              </w:rPr>
              <w:t>类别</w:t>
            </w:r>
          </w:p>
        </w:tc>
        <w:tc>
          <w:tcPr>
            <w:tcW w:w="1260" w:type="dxa"/>
            <w:vAlign w:val="top"/>
          </w:tcPr>
          <w:p w14:paraId="7D49A294">
            <w:pPr>
              <w:spacing w:before="189" w:line="228" w:lineRule="auto"/>
              <w:ind w:left="213"/>
              <w:rPr>
                <w:rFonts w:ascii="宋体" w:hAnsi="宋体" w:eastAsia="宋体" w:cs="宋体"/>
                <w:sz w:val="20"/>
                <w:szCs w:val="20"/>
              </w:rPr>
            </w:pPr>
            <w:r>
              <w:rPr>
                <w:rFonts w:ascii="宋体" w:hAnsi="宋体" w:eastAsia="宋体" w:cs="宋体"/>
                <w:b/>
                <w:bCs/>
                <w:spacing w:val="6"/>
                <w:sz w:val="20"/>
                <w:szCs w:val="20"/>
              </w:rPr>
              <w:t>职权名称</w:t>
            </w:r>
          </w:p>
        </w:tc>
        <w:tc>
          <w:tcPr>
            <w:tcW w:w="4742" w:type="dxa"/>
            <w:vAlign w:val="top"/>
          </w:tcPr>
          <w:p w14:paraId="68A063ED">
            <w:pPr>
              <w:spacing w:before="188" w:line="228" w:lineRule="auto"/>
              <w:ind w:left="1957"/>
              <w:rPr>
                <w:rFonts w:ascii="宋体" w:hAnsi="宋体" w:eastAsia="宋体" w:cs="宋体"/>
                <w:sz w:val="20"/>
                <w:szCs w:val="20"/>
              </w:rPr>
            </w:pPr>
            <w:r>
              <w:rPr>
                <w:rFonts w:ascii="宋体" w:hAnsi="宋体" w:eastAsia="宋体" w:cs="宋体"/>
                <w:b/>
                <w:bCs/>
                <w:spacing w:val="5"/>
                <w:sz w:val="20"/>
                <w:szCs w:val="20"/>
              </w:rPr>
              <w:t>实施依据</w:t>
            </w:r>
          </w:p>
        </w:tc>
        <w:tc>
          <w:tcPr>
            <w:tcW w:w="4757" w:type="dxa"/>
            <w:vAlign w:val="top"/>
          </w:tcPr>
          <w:p w14:paraId="4DDD4756">
            <w:pPr>
              <w:spacing w:before="189" w:line="228" w:lineRule="auto"/>
              <w:ind w:left="1391"/>
              <w:rPr>
                <w:rFonts w:ascii="宋体" w:hAnsi="宋体" w:eastAsia="宋体" w:cs="宋体"/>
                <w:sz w:val="20"/>
                <w:szCs w:val="20"/>
              </w:rPr>
            </w:pPr>
            <w:r>
              <w:rPr>
                <w:rFonts w:ascii="宋体" w:hAnsi="宋体" w:eastAsia="宋体" w:cs="宋体"/>
                <w:b/>
                <w:bCs/>
                <w:spacing w:val="6"/>
                <w:sz w:val="20"/>
                <w:szCs w:val="20"/>
              </w:rPr>
              <w:t>责任事项（岗位责任)</w:t>
            </w:r>
          </w:p>
        </w:tc>
        <w:tc>
          <w:tcPr>
            <w:tcW w:w="3769" w:type="dxa"/>
            <w:vAlign w:val="top"/>
          </w:tcPr>
          <w:p w14:paraId="599A4D2F">
            <w:pPr>
              <w:spacing w:before="189" w:line="228" w:lineRule="auto"/>
              <w:ind w:left="1468"/>
              <w:rPr>
                <w:rFonts w:ascii="宋体" w:hAnsi="宋体" w:eastAsia="宋体" w:cs="宋体"/>
                <w:sz w:val="20"/>
                <w:szCs w:val="20"/>
              </w:rPr>
            </w:pPr>
            <w:r>
              <w:rPr>
                <w:rFonts w:ascii="宋体" w:hAnsi="宋体" w:eastAsia="宋体" w:cs="宋体"/>
                <w:b/>
                <w:bCs/>
                <w:spacing w:val="6"/>
                <w:sz w:val="20"/>
                <w:szCs w:val="20"/>
              </w:rPr>
              <w:t>违法责任</w:t>
            </w:r>
          </w:p>
        </w:tc>
      </w:tr>
      <w:tr w14:paraId="3B3F25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724" w:type="dxa"/>
            <w:vMerge w:val="restart"/>
            <w:tcBorders>
              <w:bottom w:val="nil"/>
            </w:tcBorders>
            <w:textDirection w:val="tbRlV"/>
            <w:vAlign w:val="top"/>
          </w:tcPr>
          <w:p w14:paraId="38851A38">
            <w:pPr>
              <w:pStyle w:val="6"/>
              <w:spacing w:before="255" w:line="213" w:lineRule="auto"/>
              <w:ind w:left="2034"/>
              <w:rPr>
                <w:sz w:val="20"/>
                <w:szCs w:val="20"/>
              </w:rPr>
            </w:pPr>
            <w:r>
              <w:rPr>
                <w:spacing w:val="7"/>
                <w:sz w:val="20"/>
                <w:szCs w:val="20"/>
              </w:rPr>
              <w:t>行</w:t>
            </w:r>
            <w:r>
              <w:rPr>
                <w:spacing w:val="-26"/>
                <w:sz w:val="20"/>
                <w:szCs w:val="20"/>
              </w:rPr>
              <w:t xml:space="preserve"> </w:t>
            </w:r>
            <w:r>
              <w:rPr>
                <w:spacing w:val="7"/>
                <w:sz w:val="20"/>
                <w:szCs w:val="20"/>
              </w:rPr>
              <w:t>政</w:t>
            </w:r>
            <w:r>
              <w:rPr>
                <w:spacing w:val="-27"/>
                <w:sz w:val="20"/>
                <w:szCs w:val="20"/>
              </w:rPr>
              <w:t xml:space="preserve"> </w:t>
            </w:r>
            <w:r>
              <w:rPr>
                <w:spacing w:val="7"/>
                <w:sz w:val="20"/>
                <w:szCs w:val="20"/>
              </w:rPr>
              <w:t>强</w:t>
            </w:r>
            <w:r>
              <w:rPr>
                <w:spacing w:val="-28"/>
                <w:sz w:val="20"/>
                <w:szCs w:val="20"/>
              </w:rPr>
              <w:t xml:space="preserve"> </w:t>
            </w:r>
            <w:r>
              <w:rPr>
                <w:spacing w:val="7"/>
                <w:sz w:val="20"/>
                <w:szCs w:val="20"/>
              </w:rPr>
              <w:t>制</w:t>
            </w:r>
            <w:r>
              <w:rPr>
                <w:spacing w:val="-29"/>
                <w:sz w:val="20"/>
                <w:szCs w:val="20"/>
              </w:rPr>
              <w:t xml:space="preserve"> </w:t>
            </w:r>
            <w:r>
              <w:rPr>
                <w:spacing w:val="7"/>
                <w:sz w:val="20"/>
                <w:szCs w:val="20"/>
              </w:rPr>
              <w:t>类</w:t>
            </w:r>
          </w:p>
        </w:tc>
        <w:tc>
          <w:tcPr>
            <w:tcW w:w="1260" w:type="dxa"/>
            <w:vMerge w:val="restart"/>
            <w:tcBorders>
              <w:bottom w:val="nil"/>
            </w:tcBorders>
            <w:vAlign w:val="top"/>
          </w:tcPr>
          <w:p w14:paraId="24117073">
            <w:pPr>
              <w:spacing w:line="271" w:lineRule="auto"/>
              <w:rPr>
                <w:rFonts w:ascii="Arial"/>
                <w:sz w:val="21"/>
              </w:rPr>
            </w:pPr>
          </w:p>
          <w:p w14:paraId="748B17AB">
            <w:pPr>
              <w:spacing w:line="271" w:lineRule="auto"/>
              <w:rPr>
                <w:rFonts w:ascii="Arial"/>
                <w:sz w:val="21"/>
              </w:rPr>
            </w:pPr>
          </w:p>
          <w:p w14:paraId="6E40B040">
            <w:pPr>
              <w:spacing w:line="271" w:lineRule="auto"/>
              <w:rPr>
                <w:rFonts w:ascii="Arial"/>
                <w:sz w:val="21"/>
              </w:rPr>
            </w:pPr>
          </w:p>
          <w:p w14:paraId="54D7EF57">
            <w:pPr>
              <w:spacing w:line="272" w:lineRule="auto"/>
              <w:rPr>
                <w:rFonts w:ascii="Arial"/>
                <w:sz w:val="21"/>
              </w:rPr>
            </w:pPr>
          </w:p>
          <w:p w14:paraId="618F16D9">
            <w:pPr>
              <w:spacing w:line="272" w:lineRule="auto"/>
              <w:rPr>
                <w:rFonts w:ascii="Arial"/>
                <w:sz w:val="21"/>
              </w:rPr>
            </w:pPr>
          </w:p>
          <w:p w14:paraId="09540BC9">
            <w:pPr>
              <w:spacing w:line="272" w:lineRule="auto"/>
              <w:rPr>
                <w:rFonts w:ascii="Arial"/>
                <w:sz w:val="21"/>
              </w:rPr>
            </w:pPr>
          </w:p>
          <w:p w14:paraId="2084E998">
            <w:pPr>
              <w:spacing w:line="272" w:lineRule="auto"/>
              <w:rPr>
                <w:rFonts w:ascii="Arial"/>
                <w:sz w:val="21"/>
              </w:rPr>
            </w:pPr>
          </w:p>
          <w:p w14:paraId="4E3D1868">
            <w:pPr>
              <w:pStyle w:val="6"/>
              <w:spacing w:before="62" w:line="309" w:lineRule="auto"/>
              <w:ind w:left="110" w:right="107" w:firstLine="16"/>
              <w:jc w:val="both"/>
            </w:pPr>
            <w:r>
              <w:rPr>
                <w:spacing w:val="-4"/>
              </w:rPr>
              <w:t>31.查封、扣</w:t>
            </w:r>
            <w:r>
              <w:rPr>
                <w:spacing w:val="8"/>
              </w:rPr>
              <w:t>押涉嫌从事无照经营的场所和物品</w:t>
            </w:r>
          </w:p>
        </w:tc>
        <w:tc>
          <w:tcPr>
            <w:tcW w:w="4742" w:type="dxa"/>
            <w:vMerge w:val="restart"/>
            <w:tcBorders>
              <w:bottom w:val="nil"/>
            </w:tcBorders>
            <w:vAlign w:val="top"/>
          </w:tcPr>
          <w:p w14:paraId="2337152E">
            <w:pPr>
              <w:spacing w:line="314" w:lineRule="auto"/>
              <w:rPr>
                <w:rFonts w:ascii="Arial"/>
                <w:sz w:val="21"/>
              </w:rPr>
            </w:pPr>
          </w:p>
          <w:p w14:paraId="0DEFA4F3">
            <w:pPr>
              <w:pStyle w:val="6"/>
              <w:spacing w:before="62" w:line="310" w:lineRule="auto"/>
              <w:ind w:left="117" w:right="107" w:hanging="9"/>
            </w:pPr>
            <w:r>
              <w:rPr>
                <w:spacing w:val="4"/>
              </w:rPr>
              <w:t>《无证无照经营查处办法》国务院第</w:t>
            </w:r>
            <w:r>
              <w:rPr>
                <w:spacing w:val="-11"/>
              </w:rPr>
              <w:t xml:space="preserve"> </w:t>
            </w:r>
            <w:r>
              <w:rPr>
                <w:spacing w:val="4"/>
              </w:rPr>
              <w:t>684</w:t>
            </w:r>
            <w:r>
              <w:rPr>
                <w:spacing w:val="-30"/>
              </w:rPr>
              <w:t xml:space="preserve"> </w:t>
            </w:r>
            <w:r>
              <w:rPr>
                <w:spacing w:val="4"/>
              </w:rPr>
              <w:t>号令：第十</w:t>
            </w:r>
            <w:r>
              <w:rPr>
                <w:spacing w:val="9"/>
              </w:rPr>
              <w:t>一条  县级以上人民政府工商行政管理部</w:t>
            </w:r>
            <w:r>
              <w:rPr>
                <w:spacing w:val="8"/>
              </w:rPr>
              <w:t>门对涉嫌无照经营进行查处，可以行使下列职权：</w:t>
            </w:r>
          </w:p>
          <w:p w14:paraId="06F6FF0A">
            <w:pPr>
              <w:pStyle w:val="6"/>
              <w:spacing w:line="225" w:lineRule="auto"/>
              <w:ind w:left="108"/>
            </w:pPr>
            <w:r>
              <w:rPr>
                <w:spacing w:val="5"/>
              </w:rPr>
              <w:t>（</w:t>
            </w:r>
            <w:r>
              <w:rPr>
                <w:spacing w:val="-42"/>
              </w:rPr>
              <w:t xml:space="preserve"> </w:t>
            </w:r>
            <w:r>
              <w:rPr>
                <w:spacing w:val="5"/>
              </w:rPr>
              <w:t>一）责令停止相关经营活动；</w:t>
            </w:r>
          </w:p>
          <w:p w14:paraId="54436F0A">
            <w:pPr>
              <w:pStyle w:val="6"/>
              <w:spacing w:before="87" w:line="310" w:lineRule="auto"/>
              <w:ind w:left="116" w:right="107" w:hanging="8"/>
            </w:pPr>
            <w:r>
              <w:rPr>
                <w:spacing w:val="4"/>
              </w:rPr>
              <w:t>（</w:t>
            </w:r>
            <w:r>
              <w:rPr>
                <w:spacing w:val="-37"/>
              </w:rPr>
              <w:t xml:space="preserve"> </w:t>
            </w:r>
            <w:r>
              <w:rPr>
                <w:spacing w:val="4"/>
              </w:rPr>
              <w:t>二）向与涉嫌无照经营有关的单位和个人调查了解</w:t>
            </w:r>
            <w:r>
              <w:rPr>
                <w:spacing w:val="5"/>
              </w:rPr>
              <w:t>有关情况；</w:t>
            </w:r>
          </w:p>
          <w:p w14:paraId="39AC1301">
            <w:pPr>
              <w:pStyle w:val="6"/>
              <w:spacing w:before="2" w:line="308" w:lineRule="auto"/>
              <w:ind w:left="108" w:right="47"/>
            </w:pPr>
            <w:r>
              <w:rPr>
                <w:spacing w:val="7"/>
              </w:rPr>
              <w:t>（</w:t>
            </w:r>
            <w:r>
              <w:rPr>
                <w:spacing w:val="-45"/>
              </w:rPr>
              <w:t xml:space="preserve"> </w:t>
            </w:r>
            <w:r>
              <w:rPr>
                <w:spacing w:val="7"/>
              </w:rPr>
              <w:t>三）进入涉嫌从事无照经营的场所实施现场检查；</w:t>
            </w:r>
            <w:r>
              <w:t xml:space="preserve"> </w:t>
            </w:r>
            <w:r>
              <w:rPr>
                <w:spacing w:val="-2"/>
              </w:rPr>
              <w:t>（</w:t>
            </w:r>
            <w:r>
              <w:rPr>
                <w:spacing w:val="-27"/>
              </w:rPr>
              <w:t xml:space="preserve"> </w:t>
            </w:r>
            <w:r>
              <w:rPr>
                <w:spacing w:val="-2"/>
              </w:rPr>
              <w:t>四）查阅、复制与涉嫌无照经营有关的合同、票据、</w:t>
            </w:r>
            <w:r>
              <w:rPr>
                <w:spacing w:val="8"/>
              </w:rPr>
              <w:t>账簿以及其他有关资料。</w:t>
            </w:r>
          </w:p>
          <w:p w14:paraId="20946927">
            <w:pPr>
              <w:pStyle w:val="6"/>
              <w:spacing w:before="2" w:line="310" w:lineRule="auto"/>
              <w:ind w:left="111" w:right="39" w:firstLine="3"/>
            </w:pPr>
            <w:r>
              <w:rPr>
                <w:spacing w:val="6"/>
              </w:rPr>
              <w:t>对涉嫌从事无照经营的场所，可以予以查封；对涉嫌</w:t>
            </w:r>
            <w:r>
              <w:rPr>
                <w:spacing w:val="9"/>
              </w:rPr>
              <w:t>用于无照经营的工具、设备、原材料、产品（商品）</w:t>
            </w:r>
            <w:r>
              <w:rPr>
                <w:spacing w:val="8"/>
              </w:rPr>
              <w:t>等物品，可以予以查封、扣押。</w:t>
            </w:r>
          </w:p>
          <w:p w14:paraId="0B88C50C">
            <w:pPr>
              <w:pStyle w:val="6"/>
              <w:spacing w:before="1" w:line="310" w:lineRule="auto"/>
              <w:ind w:left="113" w:right="107" w:firstLine="1"/>
            </w:pPr>
            <w:r>
              <w:rPr>
                <w:spacing w:val="6"/>
              </w:rPr>
              <w:t>对涉嫌无证经营进行查处，依照相关法律、法规的规定采取措施。</w:t>
            </w:r>
          </w:p>
        </w:tc>
        <w:tc>
          <w:tcPr>
            <w:tcW w:w="4757" w:type="dxa"/>
            <w:vAlign w:val="top"/>
          </w:tcPr>
          <w:p w14:paraId="5091454B">
            <w:pPr>
              <w:pStyle w:val="6"/>
              <w:spacing w:before="284" w:line="224" w:lineRule="auto"/>
              <w:ind w:left="126"/>
            </w:pPr>
            <w:r>
              <w:rPr>
                <w:spacing w:val="8"/>
              </w:rPr>
              <w:t>1、核实违法事实，报行政机关负责人批准。</w:t>
            </w:r>
          </w:p>
        </w:tc>
        <w:tc>
          <w:tcPr>
            <w:tcW w:w="3769" w:type="dxa"/>
            <w:vMerge w:val="restart"/>
            <w:tcBorders>
              <w:bottom w:val="nil"/>
            </w:tcBorders>
            <w:vAlign w:val="top"/>
          </w:tcPr>
          <w:p w14:paraId="28B8866B">
            <w:pPr>
              <w:spacing w:line="262" w:lineRule="auto"/>
              <w:rPr>
                <w:rFonts w:ascii="Arial"/>
                <w:sz w:val="21"/>
              </w:rPr>
            </w:pPr>
          </w:p>
          <w:p w14:paraId="11D2A6B9">
            <w:pPr>
              <w:spacing w:line="262" w:lineRule="auto"/>
              <w:rPr>
                <w:rFonts w:ascii="Arial"/>
                <w:sz w:val="21"/>
              </w:rPr>
            </w:pPr>
          </w:p>
          <w:p w14:paraId="23A00DD5">
            <w:pPr>
              <w:spacing w:line="262" w:lineRule="auto"/>
              <w:rPr>
                <w:rFonts w:ascii="Arial"/>
                <w:sz w:val="21"/>
              </w:rPr>
            </w:pPr>
          </w:p>
          <w:p w14:paraId="0B3983D9">
            <w:pPr>
              <w:spacing w:line="262" w:lineRule="auto"/>
              <w:rPr>
                <w:rFonts w:ascii="Arial"/>
                <w:sz w:val="21"/>
              </w:rPr>
            </w:pPr>
          </w:p>
          <w:p w14:paraId="383571C8">
            <w:pPr>
              <w:spacing w:line="262" w:lineRule="auto"/>
              <w:rPr>
                <w:rFonts w:ascii="Arial"/>
                <w:sz w:val="21"/>
              </w:rPr>
            </w:pPr>
          </w:p>
          <w:p w14:paraId="3AF01D00">
            <w:pPr>
              <w:spacing w:line="262" w:lineRule="auto"/>
              <w:rPr>
                <w:rFonts w:ascii="Arial"/>
                <w:sz w:val="21"/>
              </w:rPr>
            </w:pPr>
          </w:p>
          <w:p w14:paraId="1297456C">
            <w:pPr>
              <w:spacing w:line="262" w:lineRule="auto"/>
              <w:rPr>
                <w:rFonts w:ascii="Arial"/>
                <w:sz w:val="21"/>
              </w:rPr>
            </w:pPr>
          </w:p>
          <w:p w14:paraId="53681663">
            <w:pPr>
              <w:spacing w:line="262" w:lineRule="auto"/>
              <w:rPr>
                <w:rFonts w:ascii="Arial"/>
                <w:sz w:val="21"/>
              </w:rPr>
            </w:pPr>
          </w:p>
          <w:p w14:paraId="4A55B81D">
            <w:pPr>
              <w:pStyle w:val="6"/>
              <w:spacing w:before="65" w:line="259" w:lineRule="auto"/>
              <w:ind w:left="114" w:right="107" w:firstLine="2"/>
              <w:jc w:val="both"/>
              <w:rPr>
                <w:sz w:val="20"/>
                <w:szCs w:val="20"/>
              </w:rPr>
            </w:pPr>
            <w:r>
              <w:rPr>
                <w:spacing w:val="21"/>
                <w:sz w:val="20"/>
                <w:szCs w:val="20"/>
              </w:rPr>
              <w:t>行政机关未履行法定职责或者违法行</w:t>
            </w:r>
            <w:r>
              <w:rPr>
                <w:spacing w:val="8"/>
                <w:sz w:val="20"/>
                <w:szCs w:val="20"/>
              </w:rPr>
              <w:t>使职权的，责令改正；情节严重的，对</w:t>
            </w:r>
            <w:r>
              <w:rPr>
                <w:spacing w:val="21"/>
                <w:sz w:val="20"/>
                <w:szCs w:val="20"/>
              </w:rPr>
              <w:t>直接负责的主管人员和其他直接责任</w:t>
            </w:r>
            <w:r>
              <w:rPr>
                <w:spacing w:val="8"/>
                <w:sz w:val="20"/>
                <w:szCs w:val="20"/>
              </w:rPr>
              <w:t>人员依法给予处分；构成犯罪的，依法</w:t>
            </w:r>
            <w:r>
              <w:rPr>
                <w:spacing w:val="7"/>
                <w:sz w:val="20"/>
                <w:szCs w:val="20"/>
              </w:rPr>
              <w:t>追究刑事责任。</w:t>
            </w:r>
          </w:p>
        </w:tc>
      </w:tr>
      <w:tr w14:paraId="24FDA1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724" w:type="dxa"/>
            <w:vMerge w:val="continue"/>
            <w:tcBorders>
              <w:top w:val="nil"/>
              <w:bottom w:val="nil"/>
            </w:tcBorders>
            <w:textDirection w:val="tbRlV"/>
            <w:vAlign w:val="top"/>
          </w:tcPr>
          <w:p w14:paraId="7E78B452">
            <w:pPr>
              <w:rPr>
                <w:rFonts w:ascii="Arial"/>
                <w:sz w:val="21"/>
              </w:rPr>
            </w:pPr>
          </w:p>
        </w:tc>
        <w:tc>
          <w:tcPr>
            <w:tcW w:w="1260" w:type="dxa"/>
            <w:vMerge w:val="continue"/>
            <w:tcBorders>
              <w:top w:val="nil"/>
              <w:bottom w:val="nil"/>
            </w:tcBorders>
            <w:vAlign w:val="top"/>
          </w:tcPr>
          <w:p w14:paraId="2E236BEC">
            <w:pPr>
              <w:rPr>
                <w:rFonts w:ascii="Arial"/>
                <w:sz w:val="21"/>
              </w:rPr>
            </w:pPr>
          </w:p>
        </w:tc>
        <w:tc>
          <w:tcPr>
            <w:tcW w:w="4742" w:type="dxa"/>
            <w:vMerge w:val="continue"/>
            <w:tcBorders>
              <w:top w:val="nil"/>
              <w:bottom w:val="nil"/>
            </w:tcBorders>
            <w:vAlign w:val="top"/>
          </w:tcPr>
          <w:p w14:paraId="02216DA2">
            <w:pPr>
              <w:rPr>
                <w:rFonts w:ascii="Arial"/>
                <w:sz w:val="21"/>
              </w:rPr>
            </w:pPr>
          </w:p>
        </w:tc>
        <w:tc>
          <w:tcPr>
            <w:tcW w:w="4757" w:type="dxa"/>
            <w:vAlign w:val="top"/>
          </w:tcPr>
          <w:p w14:paraId="0D7D8BD4">
            <w:pPr>
              <w:pStyle w:val="6"/>
              <w:spacing w:before="261" w:line="224" w:lineRule="auto"/>
              <w:ind w:left="122"/>
            </w:pPr>
            <w:r>
              <w:rPr>
                <w:spacing w:val="7"/>
              </w:rPr>
              <w:t>2、依法作出处理决定。</w:t>
            </w:r>
          </w:p>
        </w:tc>
        <w:tc>
          <w:tcPr>
            <w:tcW w:w="3769" w:type="dxa"/>
            <w:vMerge w:val="continue"/>
            <w:tcBorders>
              <w:top w:val="nil"/>
              <w:bottom w:val="nil"/>
            </w:tcBorders>
            <w:vAlign w:val="top"/>
          </w:tcPr>
          <w:p w14:paraId="00A67CDB">
            <w:pPr>
              <w:rPr>
                <w:rFonts w:ascii="Arial"/>
                <w:sz w:val="21"/>
              </w:rPr>
            </w:pPr>
          </w:p>
        </w:tc>
      </w:tr>
      <w:tr w14:paraId="36D92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724" w:type="dxa"/>
            <w:vMerge w:val="continue"/>
            <w:tcBorders>
              <w:top w:val="nil"/>
              <w:bottom w:val="nil"/>
            </w:tcBorders>
            <w:textDirection w:val="tbRlV"/>
            <w:vAlign w:val="top"/>
          </w:tcPr>
          <w:p w14:paraId="563943FF">
            <w:pPr>
              <w:rPr>
                <w:rFonts w:ascii="Arial"/>
                <w:sz w:val="21"/>
              </w:rPr>
            </w:pPr>
          </w:p>
        </w:tc>
        <w:tc>
          <w:tcPr>
            <w:tcW w:w="1260" w:type="dxa"/>
            <w:vMerge w:val="continue"/>
            <w:tcBorders>
              <w:top w:val="nil"/>
              <w:bottom w:val="nil"/>
            </w:tcBorders>
            <w:vAlign w:val="top"/>
          </w:tcPr>
          <w:p w14:paraId="51CF74E5">
            <w:pPr>
              <w:rPr>
                <w:rFonts w:ascii="Arial"/>
                <w:sz w:val="21"/>
              </w:rPr>
            </w:pPr>
          </w:p>
        </w:tc>
        <w:tc>
          <w:tcPr>
            <w:tcW w:w="4742" w:type="dxa"/>
            <w:vMerge w:val="continue"/>
            <w:tcBorders>
              <w:top w:val="nil"/>
              <w:bottom w:val="nil"/>
            </w:tcBorders>
            <w:vAlign w:val="top"/>
          </w:tcPr>
          <w:p w14:paraId="47DB6860">
            <w:pPr>
              <w:rPr>
                <w:rFonts w:ascii="Arial"/>
                <w:sz w:val="21"/>
              </w:rPr>
            </w:pPr>
          </w:p>
        </w:tc>
        <w:tc>
          <w:tcPr>
            <w:tcW w:w="4757" w:type="dxa"/>
            <w:vAlign w:val="top"/>
          </w:tcPr>
          <w:p w14:paraId="14938DD2">
            <w:pPr>
              <w:pStyle w:val="6"/>
              <w:spacing w:before="216" w:line="310" w:lineRule="auto"/>
              <w:ind w:left="116" w:right="104" w:firstLine="13"/>
              <w:jc w:val="both"/>
            </w:pPr>
            <w:r>
              <w:rPr>
                <w:spacing w:val="8"/>
              </w:rPr>
              <w:t>3、制作笔录，告知当事人采取强制措施的理由、依</w:t>
            </w:r>
            <w:r>
              <w:rPr>
                <w:spacing w:val="7"/>
              </w:rPr>
              <w:t>据及当事人依法享有的权利，并当场交付查封、</w:t>
            </w:r>
            <w:r>
              <w:rPr>
                <w:spacing w:val="6"/>
              </w:rPr>
              <w:t>扣押</w:t>
            </w:r>
            <w:r>
              <w:rPr>
                <w:spacing w:val="8"/>
              </w:rPr>
              <w:t>决定书和清单、实施查封、扣押。</w:t>
            </w:r>
          </w:p>
        </w:tc>
        <w:tc>
          <w:tcPr>
            <w:tcW w:w="3769" w:type="dxa"/>
            <w:vMerge w:val="continue"/>
            <w:tcBorders>
              <w:top w:val="nil"/>
              <w:bottom w:val="nil"/>
            </w:tcBorders>
            <w:vAlign w:val="top"/>
          </w:tcPr>
          <w:p w14:paraId="6B2ABC09">
            <w:pPr>
              <w:rPr>
                <w:rFonts w:ascii="Arial"/>
                <w:sz w:val="21"/>
              </w:rPr>
            </w:pPr>
          </w:p>
        </w:tc>
      </w:tr>
      <w:tr w14:paraId="06B03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36" w:hRule="atLeast"/>
        </w:trPr>
        <w:tc>
          <w:tcPr>
            <w:tcW w:w="724" w:type="dxa"/>
            <w:vMerge w:val="continue"/>
            <w:tcBorders>
              <w:top w:val="nil"/>
              <w:bottom w:val="nil"/>
            </w:tcBorders>
            <w:textDirection w:val="tbRlV"/>
            <w:vAlign w:val="top"/>
          </w:tcPr>
          <w:p w14:paraId="6F07E4C7">
            <w:pPr>
              <w:rPr>
                <w:rFonts w:ascii="Arial"/>
                <w:sz w:val="21"/>
              </w:rPr>
            </w:pPr>
          </w:p>
        </w:tc>
        <w:tc>
          <w:tcPr>
            <w:tcW w:w="1260" w:type="dxa"/>
            <w:vMerge w:val="continue"/>
            <w:tcBorders>
              <w:top w:val="nil"/>
              <w:bottom w:val="nil"/>
            </w:tcBorders>
            <w:vAlign w:val="top"/>
          </w:tcPr>
          <w:p w14:paraId="504813B9">
            <w:pPr>
              <w:rPr>
                <w:rFonts w:ascii="Arial"/>
                <w:sz w:val="21"/>
              </w:rPr>
            </w:pPr>
          </w:p>
        </w:tc>
        <w:tc>
          <w:tcPr>
            <w:tcW w:w="4742" w:type="dxa"/>
            <w:vMerge w:val="continue"/>
            <w:tcBorders>
              <w:top w:val="nil"/>
              <w:bottom w:val="nil"/>
            </w:tcBorders>
            <w:vAlign w:val="top"/>
          </w:tcPr>
          <w:p w14:paraId="7E354CBB">
            <w:pPr>
              <w:rPr>
                <w:rFonts w:ascii="Arial"/>
                <w:sz w:val="21"/>
              </w:rPr>
            </w:pPr>
          </w:p>
        </w:tc>
        <w:tc>
          <w:tcPr>
            <w:tcW w:w="4757" w:type="dxa"/>
            <w:vAlign w:val="top"/>
          </w:tcPr>
          <w:p w14:paraId="7E5A2564">
            <w:pPr>
              <w:pStyle w:val="6"/>
              <w:spacing w:before="66" w:line="310" w:lineRule="auto"/>
              <w:ind w:left="119" w:right="102" w:firstLine="2"/>
              <w:jc w:val="both"/>
            </w:pPr>
            <w:r>
              <w:rPr>
                <w:spacing w:val="9"/>
              </w:rPr>
              <w:t>4、行政机关采取查封、扣押措施后，应当及时查清</w:t>
            </w:r>
            <w:r>
              <w:rPr>
                <w:spacing w:val="7"/>
              </w:rPr>
              <w:t>事实，在《中华人民共和国行政强制法》</w:t>
            </w:r>
            <w:r>
              <w:rPr>
                <w:spacing w:val="6"/>
              </w:rPr>
              <w:t>第二十五条</w:t>
            </w:r>
            <w:r>
              <w:rPr>
                <w:spacing w:val="7"/>
              </w:rPr>
              <w:t>规定的期限内作出处理决定。对违法事实清</w:t>
            </w:r>
            <w:r>
              <w:rPr>
                <w:spacing w:val="6"/>
              </w:rPr>
              <w:t>楚，依法</w:t>
            </w:r>
            <w:r>
              <w:rPr>
                <w:spacing w:val="7"/>
              </w:rPr>
              <w:t>应当没收的非法财物予以没收；法律、行政法规</w:t>
            </w:r>
            <w:r>
              <w:rPr>
                <w:spacing w:val="6"/>
              </w:rPr>
              <w:t>规定</w:t>
            </w:r>
            <w:r>
              <w:rPr>
                <w:spacing w:val="7"/>
              </w:rPr>
              <w:t>应当销毁的，依法销毁；应当解除查封、扣</w:t>
            </w:r>
            <w:r>
              <w:rPr>
                <w:spacing w:val="6"/>
              </w:rPr>
              <w:t>押的，作</w:t>
            </w:r>
            <w:r>
              <w:rPr>
                <w:spacing w:val="7"/>
              </w:rPr>
              <w:t>出解除查封、扣押的决定。</w:t>
            </w:r>
          </w:p>
        </w:tc>
        <w:tc>
          <w:tcPr>
            <w:tcW w:w="3769" w:type="dxa"/>
            <w:vMerge w:val="continue"/>
            <w:tcBorders>
              <w:top w:val="nil"/>
              <w:bottom w:val="nil"/>
            </w:tcBorders>
            <w:vAlign w:val="top"/>
          </w:tcPr>
          <w:p w14:paraId="4459D12F">
            <w:pPr>
              <w:rPr>
                <w:rFonts w:ascii="Arial"/>
                <w:sz w:val="21"/>
              </w:rPr>
            </w:pPr>
          </w:p>
        </w:tc>
      </w:tr>
      <w:tr w14:paraId="58D27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724" w:type="dxa"/>
            <w:vMerge w:val="continue"/>
            <w:tcBorders>
              <w:top w:val="nil"/>
            </w:tcBorders>
            <w:textDirection w:val="tbRlV"/>
            <w:vAlign w:val="top"/>
          </w:tcPr>
          <w:p w14:paraId="5D323910">
            <w:pPr>
              <w:rPr>
                <w:rFonts w:ascii="Arial"/>
                <w:sz w:val="21"/>
              </w:rPr>
            </w:pPr>
          </w:p>
        </w:tc>
        <w:tc>
          <w:tcPr>
            <w:tcW w:w="1260" w:type="dxa"/>
            <w:vMerge w:val="continue"/>
            <w:tcBorders>
              <w:top w:val="nil"/>
            </w:tcBorders>
            <w:vAlign w:val="top"/>
          </w:tcPr>
          <w:p w14:paraId="1B94E4A9">
            <w:pPr>
              <w:rPr>
                <w:rFonts w:ascii="Arial"/>
                <w:sz w:val="21"/>
              </w:rPr>
            </w:pPr>
          </w:p>
        </w:tc>
        <w:tc>
          <w:tcPr>
            <w:tcW w:w="4742" w:type="dxa"/>
            <w:vMerge w:val="continue"/>
            <w:tcBorders>
              <w:top w:val="nil"/>
            </w:tcBorders>
            <w:vAlign w:val="top"/>
          </w:tcPr>
          <w:p w14:paraId="0779AEEF">
            <w:pPr>
              <w:rPr>
                <w:rFonts w:ascii="Arial"/>
                <w:sz w:val="21"/>
              </w:rPr>
            </w:pPr>
          </w:p>
        </w:tc>
        <w:tc>
          <w:tcPr>
            <w:tcW w:w="4757" w:type="dxa"/>
            <w:vAlign w:val="top"/>
          </w:tcPr>
          <w:p w14:paraId="4D468A92">
            <w:pPr>
              <w:pStyle w:val="6"/>
              <w:spacing w:before="89" w:line="224" w:lineRule="auto"/>
              <w:ind w:left="124"/>
            </w:pPr>
            <w:r>
              <w:rPr>
                <w:spacing w:val="8"/>
              </w:rPr>
              <w:t>5、其他法律法规规章规定应履行的责任。</w:t>
            </w:r>
          </w:p>
        </w:tc>
        <w:tc>
          <w:tcPr>
            <w:tcW w:w="3769" w:type="dxa"/>
            <w:vMerge w:val="continue"/>
            <w:tcBorders>
              <w:top w:val="nil"/>
            </w:tcBorders>
            <w:vAlign w:val="top"/>
          </w:tcPr>
          <w:p w14:paraId="7D3FB74D">
            <w:pPr>
              <w:rPr>
                <w:rFonts w:ascii="Arial"/>
                <w:sz w:val="21"/>
              </w:rPr>
            </w:pPr>
          </w:p>
        </w:tc>
      </w:tr>
      <w:tr w14:paraId="38E82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5252" w:type="dxa"/>
            <w:gridSpan w:val="5"/>
            <w:vAlign w:val="top"/>
          </w:tcPr>
          <w:p w14:paraId="4A0DB451">
            <w:pPr>
              <w:pStyle w:val="6"/>
              <w:spacing w:before="238" w:line="216" w:lineRule="auto"/>
              <w:ind w:left="116"/>
              <w:rPr>
                <w:rFonts w:hint="eastAsia" w:eastAsia="仿宋"/>
                <w:sz w:val="18"/>
                <w:szCs w:val="18"/>
                <w:lang w:eastAsia="zh-CN"/>
              </w:rPr>
            </w:pPr>
            <w:r>
              <w:rPr>
                <w:sz w:val="18"/>
                <w:szCs w:val="18"/>
              </w:rPr>
              <w:t>服务机构：</w:t>
            </w:r>
            <w:r>
              <w:rPr>
                <w:rFonts w:hint="eastAsia"/>
                <w:sz w:val="18"/>
                <w:szCs w:val="18"/>
                <w:lang w:eastAsia="zh-CN"/>
              </w:rPr>
              <w:t>开封市祥符区市场监督管理局</w:t>
            </w:r>
            <w:r>
              <w:rPr>
                <w:sz w:val="18"/>
                <w:szCs w:val="18"/>
              </w:rPr>
              <w:t xml:space="preserve">     服务电话：</w:t>
            </w:r>
            <w:r>
              <w:rPr>
                <w:rFonts w:hint="eastAsia"/>
                <w:sz w:val="18"/>
                <w:szCs w:val="18"/>
                <w:lang w:eastAsia="zh-CN"/>
              </w:rPr>
              <w:t>26661135</w:t>
            </w:r>
            <w:r>
              <w:rPr>
                <w:sz w:val="18"/>
                <w:szCs w:val="18"/>
              </w:rPr>
              <w:t xml:space="preserve">     服务地点：</w:t>
            </w:r>
            <w:r>
              <w:rPr>
                <w:rFonts w:hint="eastAsia"/>
                <w:sz w:val="18"/>
                <w:szCs w:val="18"/>
                <w:lang w:eastAsia="zh-CN"/>
              </w:rPr>
              <w:t>祥符区祥符大道301号</w:t>
            </w:r>
            <w:r>
              <w:rPr>
                <w:sz w:val="18"/>
                <w:szCs w:val="18"/>
              </w:rPr>
              <w:t xml:space="preserve"> </w:t>
            </w:r>
            <w:r>
              <w:rPr>
                <w:spacing w:val="-1"/>
                <w:sz w:val="18"/>
                <w:szCs w:val="18"/>
              </w:rPr>
              <w:t xml:space="preserve">     投诉机构：</w:t>
            </w:r>
            <w:r>
              <w:rPr>
                <w:rFonts w:hint="eastAsia"/>
                <w:spacing w:val="-1"/>
                <w:sz w:val="18"/>
                <w:szCs w:val="18"/>
                <w:lang w:eastAsia="zh-CN"/>
              </w:rPr>
              <w:t>开封市祥符区市场监督管理局</w:t>
            </w:r>
            <w:r>
              <w:rPr>
                <w:spacing w:val="-1"/>
                <w:sz w:val="18"/>
                <w:szCs w:val="18"/>
              </w:rPr>
              <w:t xml:space="preserve">  </w:t>
            </w:r>
            <w:r>
              <w:rPr>
                <w:rFonts w:hint="eastAsia"/>
                <w:spacing w:val="-1"/>
                <w:sz w:val="18"/>
                <w:szCs w:val="18"/>
                <w:lang w:eastAsia="zh-CN"/>
              </w:rPr>
              <w:t>投诉电话：26612315</w:t>
            </w:r>
          </w:p>
        </w:tc>
      </w:tr>
    </w:tbl>
    <w:p w14:paraId="5909EE23">
      <w:pPr>
        <w:pStyle w:val="2"/>
      </w:pPr>
    </w:p>
    <w:sectPr>
      <w:footerReference r:id="rId35" w:type="default"/>
      <w:pgSz w:w="16839" w:h="11906"/>
      <w:pgMar w:top="1012" w:right="685" w:bottom="1213" w:left="895" w:header="0" w:footer="93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7DE22">
    <w:pPr>
      <w:spacing w:line="266" w:lineRule="exact"/>
      <w:ind w:left="7493"/>
      <w:rPr>
        <w:rFonts w:ascii="Calibri" w:hAnsi="Calibri" w:eastAsia="Calibri" w:cs="Calibri"/>
        <w:sz w:val="18"/>
        <w:szCs w:val="18"/>
      </w:rPr>
    </w:pPr>
    <w:r>
      <w:rPr>
        <w:rFonts w:ascii="Calibri" w:hAnsi="Calibri" w:eastAsia="Calibri" w:cs="Calibri"/>
        <w:position w:val="2"/>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5E254">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4CB32">
    <w:pPr>
      <w:spacing w:line="266" w:lineRule="exact"/>
      <w:ind w:left="7448"/>
      <w:rPr>
        <w:rFonts w:ascii="Calibri" w:hAnsi="Calibri" w:eastAsia="Calibri" w:cs="Calibri"/>
        <w:sz w:val="18"/>
        <w:szCs w:val="18"/>
      </w:rPr>
    </w:pPr>
    <w:r>
      <w:rPr>
        <w:rFonts w:ascii="Calibri" w:hAnsi="Calibri" w:eastAsia="Calibri" w:cs="Calibri"/>
        <w:spacing w:val="-8"/>
        <w:position w:val="2"/>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38A8A">
    <w:pPr>
      <w:spacing w:line="266" w:lineRule="exact"/>
      <w:ind w:left="7448"/>
      <w:rPr>
        <w:rFonts w:ascii="Calibri" w:hAnsi="Calibri" w:eastAsia="Calibri" w:cs="Calibri"/>
        <w:sz w:val="18"/>
        <w:szCs w:val="18"/>
      </w:rPr>
    </w:pPr>
    <w:r>
      <w:rPr>
        <w:rFonts w:ascii="Calibri" w:hAnsi="Calibri" w:eastAsia="Calibri" w:cs="Calibri"/>
        <w:spacing w:val="-8"/>
        <w:position w:val="2"/>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69E93">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48FE">
    <w:pPr>
      <w:spacing w:line="266" w:lineRule="exact"/>
      <w:ind w:left="7448"/>
      <w:rPr>
        <w:rFonts w:ascii="Calibri" w:hAnsi="Calibri" w:eastAsia="Calibri" w:cs="Calibri"/>
        <w:sz w:val="18"/>
        <w:szCs w:val="18"/>
      </w:rPr>
    </w:pPr>
    <w:r>
      <w:rPr>
        <w:rFonts w:ascii="Calibri" w:hAnsi="Calibri" w:eastAsia="Calibri" w:cs="Calibri"/>
        <w:spacing w:val="-8"/>
        <w:position w:val="2"/>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7230C">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1E90D">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B3BEA">
    <w:pPr>
      <w:spacing w:line="266" w:lineRule="exact"/>
      <w:ind w:left="7448"/>
      <w:rPr>
        <w:rFonts w:ascii="Calibri" w:hAnsi="Calibri" w:eastAsia="Calibri" w:cs="Calibri"/>
        <w:sz w:val="18"/>
        <w:szCs w:val="18"/>
      </w:rPr>
    </w:pPr>
    <w:r>
      <w:rPr>
        <w:rFonts w:ascii="Calibri" w:hAnsi="Calibri" w:eastAsia="Calibri" w:cs="Calibri"/>
        <w:spacing w:val="-8"/>
        <w:position w:val="2"/>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63048">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8B2D5">
    <w:pPr>
      <w:spacing w:line="265" w:lineRule="exact"/>
      <w:ind w:left="7448"/>
      <w:rPr>
        <w:rFonts w:ascii="Calibri" w:hAnsi="Calibri" w:eastAsia="Calibri" w:cs="Calibri"/>
        <w:sz w:val="18"/>
        <w:szCs w:val="18"/>
      </w:rPr>
    </w:pPr>
    <w:r>
      <w:rPr>
        <w:rFonts w:ascii="Calibri" w:hAnsi="Calibri" w:eastAsia="Calibri" w:cs="Calibri"/>
        <w:spacing w:val="-8"/>
        <w:position w:val="2"/>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2DE77">
    <w:pPr>
      <w:spacing w:line="266" w:lineRule="exact"/>
      <w:ind w:left="7488"/>
      <w:rPr>
        <w:rFonts w:ascii="Calibri" w:hAnsi="Calibri" w:eastAsia="Calibri" w:cs="Calibri"/>
        <w:sz w:val="18"/>
        <w:szCs w:val="18"/>
      </w:rPr>
    </w:pPr>
    <w:r>
      <w:rPr>
        <w:rFonts w:ascii="Calibri" w:hAnsi="Calibri" w:eastAsia="Calibri" w:cs="Calibri"/>
        <w:position w:val="2"/>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C6355">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D9EE8">
    <w:pPr>
      <w:spacing w:line="266" w:lineRule="exact"/>
      <w:ind w:left="7442"/>
      <w:rPr>
        <w:rFonts w:ascii="Calibri" w:hAnsi="Calibri" w:eastAsia="Calibri" w:cs="Calibri"/>
        <w:sz w:val="18"/>
        <w:szCs w:val="18"/>
      </w:rPr>
    </w:pPr>
    <w:r>
      <w:rPr>
        <w:rFonts w:ascii="Calibri" w:hAnsi="Calibri" w:eastAsia="Calibri" w:cs="Calibri"/>
        <w:spacing w:val="-6"/>
        <w:position w:val="2"/>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6AAD9">
    <w:pPr>
      <w:spacing w:line="266" w:lineRule="exact"/>
      <w:ind w:left="7442"/>
      <w:rPr>
        <w:rFonts w:ascii="Calibri" w:hAnsi="Calibri" w:eastAsia="Calibri" w:cs="Calibri"/>
        <w:sz w:val="18"/>
        <w:szCs w:val="18"/>
      </w:rPr>
    </w:pPr>
    <w:r>
      <w:rPr>
        <w:rFonts w:ascii="Calibri" w:hAnsi="Calibri" w:eastAsia="Calibri" w:cs="Calibri"/>
        <w:spacing w:val="-6"/>
        <w:position w:val="2"/>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56837">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4B29D">
    <w:pPr>
      <w:spacing w:line="266" w:lineRule="exact"/>
      <w:ind w:left="7442"/>
      <w:rPr>
        <w:rFonts w:ascii="Calibri" w:hAnsi="Calibri" w:eastAsia="Calibri" w:cs="Calibri"/>
        <w:sz w:val="18"/>
        <w:szCs w:val="18"/>
      </w:rPr>
    </w:pPr>
    <w:r>
      <w:rPr>
        <w:rFonts w:ascii="Calibri" w:hAnsi="Calibri" w:eastAsia="Calibri" w:cs="Calibri"/>
        <w:spacing w:val="-6"/>
        <w:position w:val="2"/>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8341E">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C11C1">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26</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13AC5">
    <w:pPr>
      <w:spacing w:line="266" w:lineRule="exact"/>
      <w:ind w:left="7442"/>
      <w:rPr>
        <w:rFonts w:ascii="Calibri" w:hAnsi="Calibri" w:eastAsia="Calibri" w:cs="Calibri"/>
        <w:sz w:val="18"/>
        <w:szCs w:val="18"/>
      </w:rPr>
    </w:pPr>
    <w:r>
      <w:rPr>
        <w:rFonts w:ascii="Calibri" w:hAnsi="Calibri" w:eastAsia="Calibri" w:cs="Calibri"/>
        <w:spacing w:val="-6"/>
        <w:position w:val="2"/>
        <w:sz w:val="18"/>
        <w:szCs w:val="18"/>
      </w:rPr>
      <w:t>27</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4814">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28</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CAEAE">
    <w:pPr>
      <w:spacing w:line="265" w:lineRule="exact"/>
      <w:ind w:left="7442"/>
      <w:rPr>
        <w:rFonts w:ascii="Calibri" w:hAnsi="Calibri" w:eastAsia="Calibri" w:cs="Calibri"/>
        <w:sz w:val="18"/>
        <w:szCs w:val="18"/>
      </w:rPr>
    </w:pPr>
    <w:r>
      <w:rPr>
        <w:rFonts w:ascii="Calibri" w:hAnsi="Calibri" w:eastAsia="Calibri" w:cs="Calibri"/>
        <w:spacing w:val="-6"/>
        <w:position w:val="2"/>
        <w:sz w:val="18"/>
        <w:szCs w:val="18"/>
      </w:rPr>
      <w:t>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F6074">
    <w:pPr>
      <w:spacing w:line="265" w:lineRule="exact"/>
      <w:ind w:left="7487"/>
      <w:rPr>
        <w:rFonts w:ascii="Calibri" w:hAnsi="Calibri" w:eastAsia="Calibri" w:cs="Calibri"/>
        <w:sz w:val="18"/>
        <w:szCs w:val="18"/>
      </w:rPr>
    </w:pPr>
    <w:r>
      <w:rPr>
        <w:rFonts w:ascii="Calibri" w:hAnsi="Calibri" w:eastAsia="Calibri" w:cs="Calibri"/>
        <w:position w:val="2"/>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94819">
    <w:pPr>
      <w:spacing w:line="265" w:lineRule="exact"/>
      <w:ind w:left="7441"/>
      <w:rPr>
        <w:rFonts w:ascii="Calibri" w:hAnsi="Calibri" w:eastAsia="Calibri" w:cs="Calibri"/>
        <w:sz w:val="18"/>
        <w:szCs w:val="18"/>
      </w:rPr>
    </w:pPr>
    <w:r>
      <w:rPr>
        <w:rFonts w:ascii="Calibri" w:hAnsi="Calibri" w:eastAsia="Calibri" w:cs="Calibri"/>
        <w:spacing w:val="-5"/>
        <w:position w:val="2"/>
        <w:sz w:val="18"/>
        <w:szCs w:val="18"/>
      </w:rPr>
      <w:t>30</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B13C6">
    <w:pPr>
      <w:spacing w:line="265" w:lineRule="exact"/>
      <w:ind w:left="7441"/>
      <w:rPr>
        <w:rFonts w:ascii="Calibri" w:hAnsi="Calibri" w:eastAsia="Calibri" w:cs="Calibri"/>
        <w:sz w:val="18"/>
        <w:szCs w:val="18"/>
      </w:rPr>
    </w:pPr>
    <w:r>
      <w:rPr>
        <w:rFonts w:ascii="Calibri" w:hAnsi="Calibri" w:eastAsia="Calibri" w:cs="Calibri"/>
        <w:spacing w:val="-5"/>
        <w:position w:val="2"/>
        <w:sz w:val="18"/>
        <w:szCs w:val="18"/>
      </w:rPr>
      <w:t>31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F9A9B">
    <w:pPr>
      <w:spacing w:line="266" w:lineRule="exact"/>
      <w:ind w:left="7482"/>
      <w:rPr>
        <w:rFonts w:ascii="Calibri" w:hAnsi="Calibri" w:eastAsia="Calibri" w:cs="Calibri"/>
        <w:sz w:val="18"/>
        <w:szCs w:val="18"/>
      </w:rPr>
    </w:pPr>
    <w:r>
      <w:rPr>
        <w:rFonts w:ascii="Calibri" w:hAnsi="Calibri" w:eastAsia="Calibri" w:cs="Calibri"/>
        <w:position w:val="2"/>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FA482">
    <w:pPr>
      <w:spacing w:line="265" w:lineRule="exact"/>
      <w:ind w:left="7487"/>
      <w:rPr>
        <w:rFonts w:ascii="Calibri" w:hAnsi="Calibri" w:eastAsia="Calibri" w:cs="Calibri"/>
        <w:sz w:val="18"/>
        <w:szCs w:val="18"/>
      </w:rPr>
    </w:pPr>
    <w:r>
      <w:rPr>
        <w:rFonts w:ascii="Calibri" w:hAnsi="Calibri" w:eastAsia="Calibri" w:cs="Calibri"/>
        <w:position w:val="2"/>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677DB">
    <w:pPr>
      <w:spacing w:line="265" w:lineRule="exact"/>
      <w:ind w:left="7487"/>
      <w:rPr>
        <w:rFonts w:ascii="Calibri" w:hAnsi="Calibri" w:eastAsia="Calibri" w:cs="Calibri"/>
        <w:sz w:val="18"/>
        <w:szCs w:val="18"/>
      </w:rPr>
    </w:pPr>
    <w:r>
      <w:rPr>
        <w:rFonts w:ascii="Calibri" w:hAnsi="Calibri" w:eastAsia="Calibri" w:cs="Calibri"/>
        <w:position w:val="2"/>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3270C">
    <w:pPr>
      <w:spacing w:line="266" w:lineRule="exact"/>
      <w:ind w:left="7487"/>
      <w:rPr>
        <w:rFonts w:ascii="Calibri" w:hAnsi="Calibri" w:eastAsia="Calibri" w:cs="Calibri"/>
        <w:sz w:val="18"/>
        <w:szCs w:val="18"/>
      </w:rPr>
    </w:pPr>
    <w:r>
      <w:rPr>
        <w:rFonts w:ascii="Calibri" w:hAnsi="Calibri" w:eastAsia="Calibri" w:cs="Calibri"/>
        <w:position w:val="2"/>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A3535">
    <w:pPr>
      <w:spacing w:line="265" w:lineRule="exact"/>
      <w:ind w:left="7485"/>
      <w:rPr>
        <w:rFonts w:ascii="Calibri" w:hAnsi="Calibri" w:eastAsia="Calibri" w:cs="Calibri"/>
        <w:sz w:val="18"/>
        <w:szCs w:val="18"/>
      </w:rPr>
    </w:pPr>
    <w:r>
      <w:rPr>
        <w:rFonts w:ascii="Calibri" w:hAnsi="Calibri" w:eastAsia="Calibri" w:cs="Calibri"/>
        <w:position w:val="2"/>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D98F6">
    <w:pPr>
      <w:spacing w:line="265" w:lineRule="exact"/>
      <w:ind w:left="7485"/>
      <w:rPr>
        <w:rFonts w:ascii="Calibri" w:hAnsi="Calibri" w:eastAsia="Calibri" w:cs="Calibri"/>
        <w:sz w:val="18"/>
        <w:szCs w:val="18"/>
      </w:rPr>
    </w:pPr>
    <w:r>
      <w:rPr>
        <w:rFonts w:ascii="Calibri" w:hAnsi="Calibri" w:eastAsia="Calibri" w:cs="Calibri"/>
        <w:position w:val="2"/>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5870F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theme" Target="theme/theme1.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31</Pages>
  <Words>13031</Words>
  <Characters>13353</Characters>
  <TotalTime>1</TotalTime>
  <ScaleCrop>false</ScaleCrop>
  <LinksUpToDate>false</LinksUpToDate>
  <CharactersWithSpaces>13970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2022-06-06T15:43:00Z</dcterms:created>
  <dc:creator>inspur</dc:creator>
  <cp:lastModifiedBy>张云鹏</cp:lastModifiedBy>
  <dcterms:modified xsi:type="dcterms:W3CDTF">2026-03-13T08:32:27Z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2026-03-13T16:30:37Z</vt:filetime>
  </property>
  <property fmtid="{D5CDD505-2E9C-101B-9397-08002B2CF9AE}" pid="4" name="KSOTemplateDocerSaveRecord">
    <vt:lpwstr>eyJoZGlkIjoiMGVmNzdkYjUzNTFiYmViMGZlOWJiZDI3NDEzOTc2ZGIiLCJ1c2VySWQiOiIyMDkyODgxNzUifQ==</vt:lpwstr>
  </property>
  <property fmtid="{D5CDD505-2E9C-101B-9397-08002B2CF9AE}" pid="5" name="KSOProductBuildVer">
    <vt:lpwstr>2052-12.1.0.25225</vt:lpwstr>
  </property>
  <property fmtid="{D5CDD505-2E9C-101B-9397-08002B2CF9AE}" pid="6" name="ICV">
    <vt:lpwstr>B904C42FE36B41B8873DD2D6751F1AEA_12</vt:lpwstr>
  </property>
</Properties>
</file>