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278CC">
      <w:pPr>
        <w:spacing w:line="249" w:lineRule="auto"/>
        <w:rPr>
          <w:rFonts w:ascii="Arial"/>
          <w:sz w:val="21"/>
        </w:rPr>
      </w:pPr>
    </w:p>
    <w:p w14:paraId="23360128">
      <w:pPr>
        <w:spacing w:line="249" w:lineRule="auto"/>
        <w:rPr>
          <w:rFonts w:ascii="Arial"/>
          <w:sz w:val="21"/>
        </w:rPr>
      </w:pPr>
      <w:bookmarkStart w:id="0" w:name="_GoBack"/>
      <w:bookmarkEnd w:id="0"/>
    </w:p>
    <w:p w14:paraId="58FFBEA4">
      <w:pPr>
        <w:spacing w:line="249" w:lineRule="auto"/>
        <w:rPr>
          <w:rFonts w:ascii="Arial"/>
          <w:sz w:val="21"/>
        </w:rPr>
      </w:pPr>
    </w:p>
    <w:p w14:paraId="2C3630A0">
      <w:pPr>
        <w:spacing w:before="140" w:line="224" w:lineRule="auto"/>
        <w:ind w:left="2238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b/>
          <w:bCs/>
          <w:spacing w:val="6"/>
          <w:sz w:val="43"/>
          <w:szCs w:val="43"/>
          <w:lang w:eastAsia="zh-CN"/>
        </w:rPr>
        <w:t>开封市祥符区市场监督管理局</w:t>
      </w:r>
      <w:r>
        <w:rPr>
          <w:rFonts w:ascii="宋体" w:hAnsi="宋体" w:eastAsia="宋体" w:cs="宋体"/>
          <w:b/>
          <w:bCs/>
          <w:spacing w:val="6"/>
          <w:sz w:val="43"/>
          <w:szCs w:val="43"/>
        </w:rPr>
        <w:t>行政执法权责清单、岗责体系</w:t>
      </w:r>
    </w:p>
    <w:p w14:paraId="11B3B352">
      <w:pPr>
        <w:spacing w:before="57" w:line="210" w:lineRule="auto"/>
        <w:ind w:left="5203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z w:val="35"/>
          <w:szCs w:val="35"/>
        </w:rPr>
        <w:t>（五）行政确认类（共</w:t>
      </w:r>
      <w:r>
        <w:rPr>
          <w:rFonts w:ascii="宋体" w:hAnsi="宋体" w:eastAsia="宋体" w:cs="宋体"/>
          <w:spacing w:val="-55"/>
          <w:sz w:val="35"/>
          <w:szCs w:val="35"/>
        </w:rPr>
        <w:t xml:space="preserve"> </w:t>
      </w:r>
      <w:r>
        <w:rPr>
          <w:rFonts w:ascii="宋体" w:hAnsi="宋体" w:eastAsia="宋体" w:cs="宋体"/>
          <w:b/>
          <w:bCs/>
          <w:sz w:val="35"/>
          <w:szCs w:val="35"/>
        </w:rPr>
        <w:t>2</w:t>
      </w:r>
      <w:r>
        <w:rPr>
          <w:rFonts w:ascii="宋体" w:hAnsi="宋体" w:eastAsia="宋体" w:cs="宋体"/>
          <w:spacing w:val="-64"/>
          <w:sz w:val="35"/>
          <w:szCs w:val="35"/>
        </w:rPr>
        <w:t xml:space="preserve"> </w:t>
      </w:r>
      <w:r>
        <w:rPr>
          <w:rFonts w:ascii="宋体" w:hAnsi="宋体" w:eastAsia="宋体" w:cs="宋体"/>
          <w:b/>
          <w:bCs/>
          <w:sz w:val="35"/>
          <w:szCs w:val="35"/>
        </w:rPr>
        <w:t>项）</w:t>
      </w:r>
    </w:p>
    <w:tbl>
      <w:tblPr>
        <w:tblStyle w:val="4"/>
        <w:tblW w:w="1525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260"/>
        <w:gridCol w:w="6392"/>
        <w:gridCol w:w="3108"/>
        <w:gridCol w:w="3768"/>
      </w:tblGrid>
      <w:tr w14:paraId="4B9AB5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24" w:type="dxa"/>
            <w:vAlign w:val="top"/>
          </w:tcPr>
          <w:p w14:paraId="2379C37E">
            <w:pPr>
              <w:spacing w:before="48" w:line="228" w:lineRule="auto"/>
              <w:ind w:left="15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0"/>
                <w:szCs w:val="20"/>
              </w:rPr>
              <w:t>职权</w:t>
            </w:r>
          </w:p>
          <w:p w14:paraId="1C6CAED1">
            <w:pPr>
              <w:spacing w:before="33" w:line="212" w:lineRule="auto"/>
              <w:ind w:left="1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0"/>
                <w:szCs w:val="20"/>
              </w:rPr>
              <w:t>类别</w:t>
            </w:r>
          </w:p>
        </w:tc>
        <w:tc>
          <w:tcPr>
            <w:tcW w:w="1260" w:type="dxa"/>
            <w:vAlign w:val="top"/>
          </w:tcPr>
          <w:p w14:paraId="7C5F2717">
            <w:pPr>
              <w:spacing w:before="190" w:line="228" w:lineRule="auto"/>
              <w:ind w:left="2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0"/>
                <w:szCs w:val="20"/>
              </w:rPr>
              <w:t>职权名称</w:t>
            </w:r>
          </w:p>
        </w:tc>
        <w:tc>
          <w:tcPr>
            <w:tcW w:w="6392" w:type="dxa"/>
            <w:vAlign w:val="top"/>
          </w:tcPr>
          <w:p w14:paraId="484F5E59">
            <w:pPr>
              <w:spacing w:before="189" w:line="228" w:lineRule="auto"/>
              <w:ind w:left="27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sz w:val="20"/>
                <w:szCs w:val="20"/>
              </w:rPr>
              <w:t>实施依据</w:t>
            </w:r>
          </w:p>
        </w:tc>
        <w:tc>
          <w:tcPr>
            <w:tcW w:w="3108" w:type="dxa"/>
            <w:vAlign w:val="top"/>
          </w:tcPr>
          <w:p w14:paraId="664B0F43">
            <w:pPr>
              <w:spacing w:before="190" w:line="228" w:lineRule="auto"/>
              <w:ind w:left="5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0"/>
                <w:szCs w:val="20"/>
              </w:rPr>
              <w:t>责任事项（岗位责任)</w:t>
            </w:r>
          </w:p>
        </w:tc>
        <w:tc>
          <w:tcPr>
            <w:tcW w:w="3768" w:type="dxa"/>
            <w:vAlign w:val="top"/>
          </w:tcPr>
          <w:p w14:paraId="1D4802A5">
            <w:pPr>
              <w:spacing w:before="190" w:line="228" w:lineRule="auto"/>
              <w:ind w:left="1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0"/>
                <w:szCs w:val="20"/>
              </w:rPr>
              <w:t>违法责任</w:t>
            </w:r>
          </w:p>
        </w:tc>
      </w:tr>
      <w:tr w14:paraId="0BA6FD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atLeast"/>
        </w:trPr>
        <w:tc>
          <w:tcPr>
            <w:tcW w:w="724" w:type="dxa"/>
            <w:vMerge w:val="restart"/>
            <w:tcBorders>
              <w:bottom w:val="nil"/>
            </w:tcBorders>
            <w:textDirection w:val="tbRlV"/>
            <w:vAlign w:val="top"/>
          </w:tcPr>
          <w:p w14:paraId="3C4A8562">
            <w:pPr>
              <w:pStyle w:val="5"/>
              <w:spacing w:before="255" w:line="213" w:lineRule="auto"/>
              <w:ind w:left="2038"/>
            </w:pPr>
            <w:r>
              <w:rPr>
                <w:spacing w:val="7"/>
              </w:rPr>
              <w:t>行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政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确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认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类</w:t>
            </w:r>
          </w:p>
        </w:tc>
        <w:tc>
          <w:tcPr>
            <w:tcW w:w="1260" w:type="dxa"/>
            <w:vMerge w:val="restart"/>
            <w:tcBorders>
              <w:bottom w:val="nil"/>
            </w:tcBorders>
            <w:vAlign w:val="top"/>
          </w:tcPr>
          <w:p w14:paraId="187E7712">
            <w:pPr>
              <w:spacing w:line="264" w:lineRule="auto"/>
              <w:rPr>
                <w:rFonts w:ascii="Arial"/>
                <w:sz w:val="21"/>
              </w:rPr>
            </w:pPr>
          </w:p>
          <w:p w14:paraId="70B2A532">
            <w:pPr>
              <w:spacing w:line="264" w:lineRule="auto"/>
              <w:rPr>
                <w:rFonts w:ascii="Arial"/>
                <w:sz w:val="21"/>
              </w:rPr>
            </w:pPr>
          </w:p>
          <w:p w14:paraId="12A1C2F1">
            <w:pPr>
              <w:spacing w:line="264" w:lineRule="auto"/>
              <w:rPr>
                <w:rFonts w:ascii="Arial"/>
                <w:sz w:val="21"/>
              </w:rPr>
            </w:pPr>
          </w:p>
          <w:p w14:paraId="3F4A1D7D">
            <w:pPr>
              <w:spacing w:line="264" w:lineRule="auto"/>
              <w:rPr>
                <w:rFonts w:ascii="Arial"/>
                <w:sz w:val="21"/>
              </w:rPr>
            </w:pPr>
          </w:p>
          <w:p w14:paraId="3CDC71F5">
            <w:pPr>
              <w:spacing w:line="264" w:lineRule="auto"/>
              <w:rPr>
                <w:rFonts w:ascii="Arial"/>
                <w:sz w:val="21"/>
              </w:rPr>
            </w:pPr>
          </w:p>
          <w:p w14:paraId="0B681ECD">
            <w:pPr>
              <w:spacing w:line="264" w:lineRule="auto"/>
              <w:rPr>
                <w:rFonts w:ascii="Arial"/>
                <w:sz w:val="21"/>
              </w:rPr>
            </w:pPr>
          </w:p>
          <w:p w14:paraId="7247230C">
            <w:pPr>
              <w:spacing w:line="265" w:lineRule="auto"/>
              <w:rPr>
                <w:rFonts w:ascii="Arial"/>
                <w:sz w:val="21"/>
              </w:rPr>
            </w:pPr>
          </w:p>
          <w:p w14:paraId="16F278DC">
            <w:pPr>
              <w:spacing w:line="265" w:lineRule="auto"/>
              <w:rPr>
                <w:rFonts w:ascii="Arial"/>
                <w:sz w:val="21"/>
              </w:rPr>
            </w:pPr>
          </w:p>
          <w:p w14:paraId="53D85B51">
            <w:pPr>
              <w:spacing w:line="265" w:lineRule="auto"/>
              <w:rPr>
                <w:rFonts w:ascii="Arial"/>
                <w:sz w:val="21"/>
              </w:rPr>
            </w:pPr>
          </w:p>
          <w:p w14:paraId="0355BBA8">
            <w:pPr>
              <w:pStyle w:val="5"/>
              <w:spacing w:before="65" w:line="261" w:lineRule="auto"/>
              <w:ind w:left="318" w:right="210" w:hanging="93"/>
            </w:pPr>
            <w:r>
              <w:rPr>
                <w:spacing w:val="3"/>
              </w:rPr>
              <w:t>1.股权出</w:t>
            </w:r>
            <w:r>
              <w:rPr>
                <w:spacing w:val="6"/>
              </w:rPr>
              <w:t>质登记</w:t>
            </w:r>
          </w:p>
        </w:tc>
        <w:tc>
          <w:tcPr>
            <w:tcW w:w="6392" w:type="dxa"/>
            <w:vMerge w:val="restart"/>
            <w:tcBorders>
              <w:bottom w:val="nil"/>
            </w:tcBorders>
            <w:vAlign w:val="top"/>
          </w:tcPr>
          <w:p w14:paraId="5B235F9A">
            <w:pPr>
              <w:pStyle w:val="5"/>
              <w:spacing w:before="56" w:line="294" w:lineRule="auto"/>
              <w:ind w:left="116" w:right="196" w:hanging="8"/>
            </w:pPr>
            <w:r>
              <w:rPr>
                <w:color w:val="4A4A4A"/>
                <w:spacing w:val="10"/>
              </w:rPr>
              <w:t>《</w:t>
            </w:r>
            <w:r>
              <w:rPr>
                <w:spacing w:val="10"/>
              </w:rPr>
              <w:t>中华人民共和国物权法》（第十届全国人</w:t>
            </w:r>
            <w:r>
              <w:rPr>
                <w:spacing w:val="9"/>
              </w:rPr>
              <w:t>民代表大会第五次会议</w:t>
            </w:r>
            <w:r>
              <w:rPr>
                <w:spacing w:val="7"/>
              </w:rPr>
              <w:t>通过，</w:t>
            </w:r>
            <w:r>
              <w:rPr>
                <w:spacing w:val="-57"/>
              </w:rPr>
              <w:t xml:space="preserve"> </w:t>
            </w:r>
            <w:r>
              <w:rPr>
                <w:spacing w:val="7"/>
              </w:rPr>
              <w:t>中华人民共和国主席令第六十二号公布）</w:t>
            </w:r>
          </w:p>
          <w:p w14:paraId="527A2421">
            <w:pPr>
              <w:pStyle w:val="5"/>
              <w:spacing w:before="3" w:line="294" w:lineRule="auto"/>
              <w:ind w:left="114" w:right="194" w:firstLine="8"/>
            </w:pPr>
            <w:r>
              <w:rPr>
                <w:spacing w:val="7"/>
              </w:rPr>
              <w:t>第二百二十六条  以基金份额、股权出质的，</w:t>
            </w:r>
            <w:r>
              <w:rPr>
                <w:spacing w:val="-41"/>
              </w:rPr>
              <w:t xml:space="preserve"> </w:t>
            </w:r>
            <w:r>
              <w:rPr>
                <w:spacing w:val="7"/>
              </w:rPr>
              <w:t>当事人应当订立书面合同。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以基金份额、证券登记结算机构登记的股权出质的，质权自</w:t>
            </w:r>
            <w:r>
              <w:rPr>
                <w:spacing w:val="8"/>
              </w:rPr>
              <w:t>证券登记结算机构办理出质登记时设立；</w:t>
            </w:r>
            <w:r>
              <w:rPr>
                <w:spacing w:val="-45"/>
              </w:rPr>
              <w:t xml:space="preserve"> </w:t>
            </w:r>
            <w:r>
              <w:rPr>
                <w:spacing w:val="8"/>
              </w:rPr>
              <w:t>以</w:t>
            </w:r>
            <w:r>
              <w:rPr>
                <w:spacing w:val="7"/>
              </w:rPr>
              <w:t>其他股权出质的，质权</w:t>
            </w:r>
            <w:r>
              <w:rPr>
                <w:spacing w:val="8"/>
              </w:rPr>
              <w:t>自工商行政管理部门办理出质登记时设立。</w:t>
            </w:r>
          </w:p>
          <w:p w14:paraId="37CF31E7">
            <w:pPr>
              <w:pStyle w:val="5"/>
              <w:spacing w:before="1" w:line="293" w:lineRule="auto"/>
              <w:ind w:left="109" w:right="194" w:hanging="1"/>
            </w:pPr>
            <w:r>
              <w:rPr>
                <w:spacing w:val="8"/>
              </w:rPr>
              <w:t>《工商行政管理机关股权出质登记办法》（</w:t>
            </w:r>
            <w:r>
              <w:rPr>
                <w:spacing w:val="-45"/>
              </w:rPr>
              <w:t xml:space="preserve"> </w:t>
            </w:r>
            <w:r>
              <w:rPr>
                <w:spacing w:val="8"/>
              </w:rPr>
              <w:t>国家工商行政</w:t>
            </w:r>
            <w:r>
              <w:rPr>
                <w:spacing w:val="7"/>
              </w:rPr>
              <w:t>管理总局</w:t>
            </w:r>
            <w:r>
              <w:rPr>
                <w:spacing w:val="5"/>
              </w:rPr>
              <w:t>令第</w:t>
            </w:r>
            <w:r>
              <w:rPr>
                <w:spacing w:val="-6"/>
              </w:rPr>
              <w:t xml:space="preserve"> </w:t>
            </w:r>
            <w:r>
              <w:rPr>
                <w:spacing w:val="5"/>
              </w:rPr>
              <w:t>32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号公布，国家工商行政管理总局令第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86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号修订）</w:t>
            </w:r>
          </w:p>
          <w:p w14:paraId="218C655C">
            <w:pPr>
              <w:pStyle w:val="5"/>
              <w:spacing w:before="2" w:line="294" w:lineRule="auto"/>
              <w:ind w:left="114" w:right="107" w:firstLine="8"/>
            </w:pPr>
            <w:r>
              <w:rPr>
                <w:spacing w:val="7"/>
              </w:rPr>
              <w:t>第二条</w:t>
            </w:r>
            <w:r>
              <w:rPr>
                <w:spacing w:val="52"/>
              </w:rPr>
              <w:t xml:space="preserve"> </w:t>
            </w:r>
            <w:r>
              <w:rPr>
                <w:spacing w:val="7"/>
              </w:rPr>
              <w:t>以持有的有限责任公司和股份有限公司股权出质，办理出质登记的，适用本办法。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已在证券登记结算机构登记的股份有限公司</w:t>
            </w:r>
            <w:r>
              <w:rPr>
                <w:spacing w:val="6"/>
              </w:rPr>
              <w:t>的股权除外。</w:t>
            </w:r>
          </w:p>
          <w:p w14:paraId="06D9CD90">
            <w:pPr>
              <w:pStyle w:val="5"/>
              <w:spacing w:before="1" w:line="294" w:lineRule="auto"/>
              <w:ind w:left="112" w:right="299" w:firstLine="9"/>
            </w:pPr>
            <w:r>
              <w:rPr>
                <w:spacing w:val="9"/>
              </w:rPr>
              <w:t>第三条 负责出质股权所在公司登记的工商行政管理机关是股权出</w:t>
            </w:r>
            <w:r>
              <w:rPr>
                <w:spacing w:val="8"/>
              </w:rPr>
              <w:t>质登记机关(以下简称登记机关)。</w:t>
            </w:r>
          </w:p>
          <w:p w14:paraId="27FD5861">
            <w:pPr>
              <w:pStyle w:val="5"/>
              <w:spacing w:before="1" w:line="223" w:lineRule="auto"/>
              <w:ind w:left="111"/>
            </w:pPr>
            <w:r>
              <w:rPr>
                <w:spacing w:val="9"/>
              </w:rPr>
              <w:t>各级工商行政管理机关的企业登记机构是股权出质登记机构。</w:t>
            </w:r>
          </w:p>
          <w:p w14:paraId="37A16CEE">
            <w:pPr>
              <w:pStyle w:val="5"/>
              <w:spacing w:before="76" w:line="294" w:lineRule="auto"/>
              <w:ind w:left="112" w:right="105" w:firstLine="9"/>
            </w:pPr>
            <w:r>
              <w:rPr>
                <w:spacing w:val="7"/>
              </w:rPr>
              <w:t>第八条</w:t>
            </w:r>
            <w:r>
              <w:rPr>
                <w:spacing w:val="47"/>
              </w:rPr>
              <w:t xml:space="preserve"> </w:t>
            </w:r>
            <w:r>
              <w:rPr>
                <w:spacing w:val="7"/>
              </w:rPr>
              <w:t>出质股权数额变更，以及出质人、质权人姓名(名称)或者出</w:t>
            </w:r>
            <w:r>
              <w:rPr>
                <w:spacing w:val="9"/>
              </w:rPr>
              <w:t>质股权所在公司名称更改的，应当申请办理变更登记。</w:t>
            </w:r>
          </w:p>
        </w:tc>
        <w:tc>
          <w:tcPr>
            <w:tcW w:w="3108" w:type="dxa"/>
            <w:vAlign w:val="top"/>
          </w:tcPr>
          <w:p w14:paraId="7D7FA662">
            <w:pPr>
              <w:pStyle w:val="5"/>
              <w:spacing w:before="56" w:line="280" w:lineRule="auto"/>
              <w:ind w:left="116" w:right="105" w:firstLine="9"/>
            </w:pPr>
            <w:r>
              <w:rPr>
                <w:spacing w:val="8"/>
              </w:rPr>
              <w:t>1、受理责任：公示依法应当提</w:t>
            </w:r>
            <w:r>
              <w:rPr>
                <w:spacing w:val="9"/>
              </w:rPr>
              <w:t>交的材料；一次性告知补正材</w:t>
            </w:r>
            <w:r>
              <w:rPr>
                <w:spacing w:val="5"/>
              </w:rPr>
              <w:t>料；依法受理或不予受理（不予</w:t>
            </w:r>
            <w:r>
              <w:rPr>
                <w:spacing w:val="6"/>
              </w:rPr>
              <w:t>受理应告知理由）。</w:t>
            </w:r>
          </w:p>
        </w:tc>
        <w:tc>
          <w:tcPr>
            <w:tcW w:w="3768" w:type="dxa"/>
            <w:vMerge w:val="restart"/>
            <w:tcBorders>
              <w:bottom w:val="nil"/>
            </w:tcBorders>
            <w:vAlign w:val="top"/>
          </w:tcPr>
          <w:p w14:paraId="05BC0A33">
            <w:pPr>
              <w:spacing w:line="280" w:lineRule="auto"/>
              <w:rPr>
                <w:rFonts w:ascii="Arial"/>
                <w:sz w:val="21"/>
              </w:rPr>
            </w:pPr>
          </w:p>
          <w:p w14:paraId="6748B62E">
            <w:pPr>
              <w:spacing w:line="281" w:lineRule="auto"/>
              <w:rPr>
                <w:rFonts w:ascii="Arial"/>
                <w:sz w:val="21"/>
              </w:rPr>
            </w:pPr>
          </w:p>
          <w:p w14:paraId="2D112D79">
            <w:pPr>
              <w:spacing w:line="281" w:lineRule="auto"/>
              <w:rPr>
                <w:rFonts w:ascii="Arial"/>
                <w:sz w:val="21"/>
              </w:rPr>
            </w:pPr>
          </w:p>
          <w:p w14:paraId="0D1580FD">
            <w:pPr>
              <w:spacing w:line="281" w:lineRule="auto"/>
              <w:rPr>
                <w:rFonts w:ascii="Arial"/>
                <w:sz w:val="21"/>
              </w:rPr>
            </w:pPr>
          </w:p>
          <w:p w14:paraId="242EB20C">
            <w:pPr>
              <w:pStyle w:val="5"/>
              <w:spacing w:before="65" w:line="259" w:lineRule="auto"/>
              <w:ind w:left="122" w:right="107" w:firstLine="413"/>
              <w:jc w:val="both"/>
            </w:pPr>
            <w:r>
              <w:rPr>
                <w:spacing w:val="22"/>
              </w:rPr>
              <w:t>行政机关未履行法定职责或者违</w:t>
            </w:r>
            <w:r>
              <w:rPr>
                <w:spacing w:val="7"/>
              </w:rPr>
              <w:t>法行使职权的，责令限期改正；逾期不改正的，给予通报批评、取消评比先进资格等处理；情节严重的，对直接负责</w:t>
            </w:r>
            <w:r>
              <w:rPr>
                <w:spacing w:val="20"/>
              </w:rPr>
              <w:t>的主管人员和其他直接责任人员依法</w:t>
            </w:r>
            <w:r>
              <w:rPr>
                <w:spacing w:val="7"/>
              </w:rPr>
              <w:t>给予处分；构成犯罪的，依法追究刑事</w:t>
            </w:r>
            <w:r>
              <w:rPr>
                <w:spacing w:val="1"/>
              </w:rPr>
              <w:t>责任。</w:t>
            </w:r>
          </w:p>
          <w:p w14:paraId="5686AC62">
            <w:pPr>
              <w:pStyle w:val="5"/>
              <w:spacing w:before="2" w:line="258" w:lineRule="auto"/>
              <w:ind w:left="115" w:right="49" w:firstLine="420"/>
              <w:jc w:val="both"/>
            </w:pPr>
            <w:r>
              <w:rPr>
                <w:spacing w:val="22"/>
              </w:rPr>
              <w:t>行政执法人员未履行法定职责或</w:t>
            </w:r>
            <w:r>
              <w:rPr>
                <w:spacing w:val="8"/>
              </w:rPr>
              <w:t>者违法行使职权的，视情节轻重给予批评教育、离岗培训、调离执法岗位、取</w:t>
            </w:r>
            <w:r>
              <w:rPr>
                <w:spacing w:val="21"/>
              </w:rPr>
              <w:t>消行政执法资格等处理或者依法给予</w:t>
            </w:r>
            <w:r>
              <w:rPr>
                <w:spacing w:val="-1"/>
              </w:rPr>
              <w:t>处分；构成犯罪的，依法追究刑事责任。</w:t>
            </w:r>
          </w:p>
        </w:tc>
      </w:tr>
      <w:tr w14:paraId="0C0B87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9" w:hRule="atLeast"/>
        </w:trPr>
        <w:tc>
          <w:tcPr>
            <w:tcW w:w="72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716FE37">
            <w:pPr>
              <w:rPr>
                <w:rFonts w:ascii="Arial"/>
                <w:sz w:val="21"/>
              </w:rPr>
            </w:pPr>
          </w:p>
        </w:tc>
        <w:tc>
          <w:tcPr>
            <w:tcW w:w="1260" w:type="dxa"/>
            <w:vMerge w:val="continue"/>
            <w:tcBorders>
              <w:top w:val="nil"/>
              <w:bottom w:val="nil"/>
            </w:tcBorders>
            <w:vAlign w:val="top"/>
          </w:tcPr>
          <w:p w14:paraId="09FC5888">
            <w:pPr>
              <w:rPr>
                <w:rFonts w:ascii="Arial"/>
                <w:sz w:val="21"/>
              </w:rPr>
            </w:pPr>
          </w:p>
        </w:tc>
        <w:tc>
          <w:tcPr>
            <w:tcW w:w="6392" w:type="dxa"/>
            <w:vMerge w:val="continue"/>
            <w:tcBorders>
              <w:top w:val="nil"/>
              <w:bottom w:val="nil"/>
            </w:tcBorders>
            <w:vAlign w:val="top"/>
          </w:tcPr>
          <w:p w14:paraId="0743B12F">
            <w:pPr>
              <w:rPr>
                <w:rFonts w:ascii="Arial"/>
                <w:sz w:val="21"/>
              </w:rPr>
            </w:pPr>
          </w:p>
        </w:tc>
        <w:tc>
          <w:tcPr>
            <w:tcW w:w="3108" w:type="dxa"/>
            <w:vAlign w:val="top"/>
          </w:tcPr>
          <w:p w14:paraId="543F6C28">
            <w:pPr>
              <w:pStyle w:val="5"/>
              <w:spacing w:before="56" w:line="283" w:lineRule="auto"/>
              <w:ind w:left="114" w:right="105" w:firstLine="7"/>
              <w:jc w:val="both"/>
            </w:pPr>
            <w:r>
              <w:rPr>
                <w:spacing w:val="8"/>
              </w:rPr>
              <w:t>2、审查责任：依据《中华人民</w:t>
            </w:r>
            <w:r>
              <w:rPr>
                <w:spacing w:val="6"/>
              </w:rPr>
              <w:t>共和国物权法》</w:t>
            </w:r>
            <w:r>
              <w:rPr>
                <w:spacing w:val="44"/>
              </w:rPr>
              <w:t xml:space="preserve"> </w:t>
            </w:r>
            <w:r>
              <w:rPr>
                <w:spacing w:val="6"/>
              </w:rPr>
              <w:t>第二百二十六</w:t>
            </w:r>
            <w:r>
              <w:rPr>
                <w:spacing w:val="5"/>
              </w:rPr>
              <w:t>条和《工商行政管理机关股权出</w:t>
            </w:r>
            <w:r>
              <w:rPr>
                <w:spacing w:val="6"/>
              </w:rPr>
              <w:t>质登记办法》</w:t>
            </w:r>
            <w:r>
              <w:rPr>
                <w:spacing w:val="46"/>
              </w:rPr>
              <w:t xml:space="preserve"> </w:t>
            </w:r>
            <w:r>
              <w:rPr>
                <w:spacing w:val="6"/>
              </w:rPr>
              <w:t>第三条等有关规</w:t>
            </w:r>
            <w:r>
              <w:rPr>
                <w:spacing w:val="7"/>
              </w:rPr>
              <w:t>定进行材料审查。</w:t>
            </w:r>
          </w:p>
        </w:tc>
        <w:tc>
          <w:tcPr>
            <w:tcW w:w="3768" w:type="dxa"/>
            <w:vMerge w:val="continue"/>
            <w:tcBorders>
              <w:top w:val="nil"/>
              <w:bottom w:val="nil"/>
            </w:tcBorders>
            <w:vAlign w:val="top"/>
          </w:tcPr>
          <w:p w14:paraId="7596636C">
            <w:pPr>
              <w:rPr>
                <w:rFonts w:ascii="Arial"/>
                <w:sz w:val="21"/>
              </w:rPr>
            </w:pPr>
          </w:p>
        </w:tc>
      </w:tr>
      <w:tr w14:paraId="716661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atLeast"/>
        </w:trPr>
        <w:tc>
          <w:tcPr>
            <w:tcW w:w="72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B042567">
            <w:pPr>
              <w:rPr>
                <w:rFonts w:ascii="Arial"/>
                <w:sz w:val="21"/>
              </w:rPr>
            </w:pPr>
          </w:p>
        </w:tc>
        <w:tc>
          <w:tcPr>
            <w:tcW w:w="1260" w:type="dxa"/>
            <w:vMerge w:val="continue"/>
            <w:tcBorders>
              <w:top w:val="nil"/>
              <w:bottom w:val="nil"/>
            </w:tcBorders>
            <w:vAlign w:val="top"/>
          </w:tcPr>
          <w:p w14:paraId="517DA84E">
            <w:pPr>
              <w:rPr>
                <w:rFonts w:ascii="Arial"/>
                <w:sz w:val="21"/>
              </w:rPr>
            </w:pPr>
          </w:p>
        </w:tc>
        <w:tc>
          <w:tcPr>
            <w:tcW w:w="6392" w:type="dxa"/>
            <w:vMerge w:val="continue"/>
            <w:tcBorders>
              <w:top w:val="nil"/>
              <w:bottom w:val="nil"/>
            </w:tcBorders>
            <w:vAlign w:val="top"/>
          </w:tcPr>
          <w:p w14:paraId="2FD3DF0B">
            <w:pPr>
              <w:rPr>
                <w:rFonts w:ascii="Arial"/>
                <w:sz w:val="21"/>
              </w:rPr>
            </w:pPr>
          </w:p>
        </w:tc>
        <w:tc>
          <w:tcPr>
            <w:tcW w:w="3108" w:type="dxa"/>
            <w:vAlign w:val="top"/>
          </w:tcPr>
          <w:p w14:paraId="04F1E9AE">
            <w:pPr>
              <w:pStyle w:val="5"/>
              <w:spacing w:before="60" w:line="274" w:lineRule="auto"/>
              <w:ind w:left="122" w:right="105" w:firstLine="7"/>
              <w:jc w:val="both"/>
            </w:pPr>
            <w:r>
              <w:rPr>
                <w:spacing w:val="-3"/>
              </w:rPr>
              <w:t>3、决定责任：依法作出决定（不</w:t>
            </w:r>
            <w:r>
              <w:rPr>
                <w:spacing w:val="7"/>
              </w:rPr>
              <w:t>予许可的应当告知理由</w:t>
            </w:r>
            <w:r>
              <w:rPr>
                <w:spacing w:val="-5"/>
              </w:rPr>
              <w:t>）；</w:t>
            </w:r>
            <w:r>
              <w:rPr>
                <w:spacing w:val="7"/>
              </w:rPr>
              <w:t>按时</w:t>
            </w:r>
            <w:r>
              <w:rPr>
                <w:spacing w:val="6"/>
              </w:rPr>
              <w:t>办结；法定告知。</w:t>
            </w:r>
          </w:p>
        </w:tc>
        <w:tc>
          <w:tcPr>
            <w:tcW w:w="3768" w:type="dxa"/>
            <w:vMerge w:val="continue"/>
            <w:tcBorders>
              <w:top w:val="nil"/>
              <w:bottom w:val="nil"/>
            </w:tcBorders>
            <w:vAlign w:val="top"/>
          </w:tcPr>
          <w:p w14:paraId="1629811E">
            <w:pPr>
              <w:rPr>
                <w:rFonts w:ascii="Arial"/>
                <w:sz w:val="21"/>
              </w:rPr>
            </w:pPr>
          </w:p>
        </w:tc>
      </w:tr>
      <w:tr w14:paraId="3E8F13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72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4B6431F">
            <w:pPr>
              <w:rPr>
                <w:rFonts w:ascii="Arial"/>
                <w:sz w:val="21"/>
              </w:rPr>
            </w:pPr>
          </w:p>
        </w:tc>
        <w:tc>
          <w:tcPr>
            <w:tcW w:w="1260" w:type="dxa"/>
            <w:vMerge w:val="continue"/>
            <w:tcBorders>
              <w:top w:val="nil"/>
              <w:bottom w:val="nil"/>
            </w:tcBorders>
            <w:vAlign w:val="top"/>
          </w:tcPr>
          <w:p w14:paraId="6BF794AC">
            <w:pPr>
              <w:rPr>
                <w:rFonts w:ascii="Arial"/>
                <w:sz w:val="21"/>
              </w:rPr>
            </w:pPr>
          </w:p>
        </w:tc>
        <w:tc>
          <w:tcPr>
            <w:tcW w:w="6392" w:type="dxa"/>
            <w:vMerge w:val="continue"/>
            <w:tcBorders>
              <w:top w:val="nil"/>
              <w:bottom w:val="nil"/>
            </w:tcBorders>
            <w:vAlign w:val="top"/>
          </w:tcPr>
          <w:p w14:paraId="01D1238E">
            <w:pPr>
              <w:rPr>
                <w:rFonts w:ascii="Arial"/>
                <w:sz w:val="21"/>
              </w:rPr>
            </w:pPr>
          </w:p>
        </w:tc>
        <w:tc>
          <w:tcPr>
            <w:tcW w:w="3108" w:type="dxa"/>
            <w:vAlign w:val="top"/>
          </w:tcPr>
          <w:p w14:paraId="3EBD0371">
            <w:pPr>
              <w:pStyle w:val="5"/>
              <w:spacing w:before="60" w:line="264" w:lineRule="auto"/>
              <w:ind w:left="114" w:right="104" w:firstLine="6"/>
            </w:pPr>
            <w:r>
              <w:rPr>
                <w:spacing w:val="7"/>
              </w:rPr>
              <w:t>4、送达责任：制作送达文书；</w:t>
            </w:r>
            <w:r>
              <w:rPr>
                <w:spacing w:val="6"/>
              </w:rPr>
              <w:t>按规定送达当事人；信息公开。</w:t>
            </w:r>
          </w:p>
        </w:tc>
        <w:tc>
          <w:tcPr>
            <w:tcW w:w="3768" w:type="dxa"/>
            <w:vMerge w:val="continue"/>
            <w:tcBorders>
              <w:top w:val="nil"/>
              <w:bottom w:val="nil"/>
            </w:tcBorders>
            <w:vAlign w:val="top"/>
          </w:tcPr>
          <w:p w14:paraId="64E7395D">
            <w:pPr>
              <w:rPr>
                <w:rFonts w:ascii="Arial"/>
                <w:sz w:val="21"/>
              </w:rPr>
            </w:pPr>
          </w:p>
        </w:tc>
      </w:tr>
      <w:tr w14:paraId="50B4C5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724" w:type="dxa"/>
            <w:vMerge w:val="continue"/>
            <w:tcBorders>
              <w:top w:val="nil"/>
            </w:tcBorders>
            <w:textDirection w:val="tbRlV"/>
            <w:vAlign w:val="top"/>
          </w:tcPr>
          <w:p w14:paraId="5C4915EC">
            <w:pPr>
              <w:rPr>
                <w:rFonts w:ascii="Arial"/>
                <w:sz w:val="21"/>
              </w:rPr>
            </w:pPr>
          </w:p>
        </w:tc>
        <w:tc>
          <w:tcPr>
            <w:tcW w:w="1260" w:type="dxa"/>
            <w:vMerge w:val="continue"/>
            <w:tcBorders>
              <w:top w:val="nil"/>
            </w:tcBorders>
            <w:vAlign w:val="top"/>
          </w:tcPr>
          <w:p w14:paraId="51566397">
            <w:pPr>
              <w:rPr>
                <w:rFonts w:ascii="Arial"/>
                <w:sz w:val="21"/>
              </w:rPr>
            </w:pPr>
          </w:p>
        </w:tc>
        <w:tc>
          <w:tcPr>
            <w:tcW w:w="6392" w:type="dxa"/>
            <w:vMerge w:val="continue"/>
            <w:tcBorders>
              <w:top w:val="nil"/>
            </w:tcBorders>
            <w:vAlign w:val="top"/>
          </w:tcPr>
          <w:p w14:paraId="7AC33A2E">
            <w:pPr>
              <w:rPr>
                <w:rFonts w:ascii="Arial"/>
                <w:sz w:val="21"/>
              </w:rPr>
            </w:pPr>
          </w:p>
        </w:tc>
        <w:tc>
          <w:tcPr>
            <w:tcW w:w="3108" w:type="dxa"/>
            <w:vAlign w:val="top"/>
          </w:tcPr>
          <w:p w14:paraId="005BBC7B">
            <w:pPr>
              <w:pStyle w:val="5"/>
              <w:spacing w:before="186" w:line="311" w:lineRule="auto"/>
              <w:ind w:left="129" w:right="105" w:hanging="6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5、其他法律法规规章规定应履行</w:t>
            </w:r>
            <w:r>
              <w:rPr>
                <w:spacing w:val="1"/>
                <w:sz w:val="19"/>
                <w:szCs w:val="19"/>
              </w:rPr>
              <w:t>的责任。</w:t>
            </w:r>
          </w:p>
        </w:tc>
        <w:tc>
          <w:tcPr>
            <w:tcW w:w="3768" w:type="dxa"/>
            <w:vMerge w:val="continue"/>
            <w:tcBorders>
              <w:top w:val="nil"/>
            </w:tcBorders>
            <w:vAlign w:val="top"/>
          </w:tcPr>
          <w:p w14:paraId="16FF6C99">
            <w:pPr>
              <w:rPr>
                <w:rFonts w:ascii="Arial"/>
                <w:sz w:val="21"/>
              </w:rPr>
            </w:pPr>
          </w:p>
        </w:tc>
      </w:tr>
      <w:tr w14:paraId="4D9D08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5252" w:type="dxa"/>
            <w:gridSpan w:val="5"/>
            <w:vAlign w:val="top"/>
          </w:tcPr>
          <w:p w14:paraId="294B30CC">
            <w:pPr>
              <w:pStyle w:val="5"/>
              <w:spacing w:before="237" w:line="216" w:lineRule="auto"/>
              <w:ind w:left="116"/>
              <w:rPr>
                <w:rFonts w:hint="eastAsia" w:eastAsia="仿宋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服务机构：</w:t>
            </w:r>
            <w:r>
              <w:rPr>
                <w:rFonts w:hint="eastAsia"/>
                <w:sz w:val="18"/>
                <w:szCs w:val="18"/>
                <w:lang w:eastAsia="zh-CN"/>
              </w:rPr>
              <w:t>开封市祥符区市场监督管理局</w:t>
            </w:r>
            <w:r>
              <w:rPr>
                <w:sz w:val="18"/>
                <w:szCs w:val="18"/>
              </w:rPr>
              <w:t xml:space="preserve">    服务电话：</w:t>
            </w:r>
            <w:r>
              <w:rPr>
                <w:rFonts w:hint="eastAsia"/>
                <w:sz w:val="18"/>
                <w:szCs w:val="18"/>
                <w:lang w:eastAsia="zh-CN"/>
              </w:rPr>
              <w:t>26661135</w:t>
            </w:r>
            <w:r>
              <w:rPr>
                <w:sz w:val="18"/>
                <w:szCs w:val="18"/>
              </w:rPr>
              <w:t xml:space="preserve">     服务地点：</w:t>
            </w:r>
            <w:r>
              <w:rPr>
                <w:rFonts w:hint="eastAsia"/>
                <w:sz w:val="18"/>
                <w:szCs w:val="18"/>
                <w:lang w:eastAsia="zh-CN"/>
              </w:rPr>
              <w:t>祥符区祥符大道301号</w:t>
            </w:r>
            <w:r>
              <w:rPr>
                <w:sz w:val="18"/>
                <w:szCs w:val="18"/>
              </w:rPr>
              <w:t xml:space="preserve">      投诉机</w:t>
            </w:r>
            <w:r>
              <w:rPr>
                <w:spacing w:val="-1"/>
                <w:sz w:val="18"/>
                <w:szCs w:val="18"/>
              </w:rPr>
              <w:t>构：</w:t>
            </w:r>
            <w:r>
              <w:rPr>
                <w:rFonts w:hint="eastAsia"/>
                <w:spacing w:val="-1"/>
                <w:sz w:val="18"/>
                <w:szCs w:val="18"/>
                <w:lang w:eastAsia="zh-CN"/>
              </w:rPr>
              <w:t>开封市祥符区市场监督管理局</w:t>
            </w:r>
            <w:r>
              <w:rPr>
                <w:spacing w:val="-1"/>
                <w:sz w:val="18"/>
                <w:szCs w:val="18"/>
              </w:rPr>
              <w:t xml:space="preserve">    </w:t>
            </w:r>
            <w:r>
              <w:rPr>
                <w:rFonts w:hint="eastAsia"/>
                <w:spacing w:val="-1"/>
                <w:sz w:val="18"/>
                <w:szCs w:val="18"/>
                <w:lang w:eastAsia="zh-CN"/>
              </w:rPr>
              <w:t>投诉电话：26612315</w:t>
            </w:r>
          </w:p>
        </w:tc>
      </w:tr>
    </w:tbl>
    <w:p w14:paraId="7B99BF93">
      <w:pPr>
        <w:rPr>
          <w:rFonts w:ascii="Arial"/>
          <w:sz w:val="21"/>
        </w:rPr>
      </w:pPr>
    </w:p>
    <w:p w14:paraId="1721FAD1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6839" w:h="11906"/>
          <w:pgMar w:top="1012" w:right="685" w:bottom="1213" w:left="895" w:header="0" w:footer="936" w:gutter="0"/>
          <w:cols w:space="720" w:num="1"/>
        </w:sectPr>
      </w:pPr>
    </w:p>
    <w:p w14:paraId="546AD49C">
      <w:pPr>
        <w:spacing w:before="45"/>
      </w:pPr>
    </w:p>
    <w:p w14:paraId="466A4811">
      <w:pPr>
        <w:spacing w:before="44"/>
      </w:pPr>
    </w:p>
    <w:p w14:paraId="71EA294A">
      <w:pPr>
        <w:spacing w:before="44"/>
      </w:pPr>
    </w:p>
    <w:p w14:paraId="17E3F875">
      <w:pPr>
        <w:spacing w:before="44"/>
      </w:pPr>
    </w:p>
    <w:p w14:paraId="0DE632B9">
      <w:pPr>
        <w:spacing w:before="44"/>
      </w:pPr>
    </w:p>
    <w:tbl>
      <w:tblPr>
        <w:tblStyle w:val="4"/>
        <w:tblW w:w="1525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260"/>
        <w:gridCol w:w="6572"/>
        <w:gridCol w:w="4753"/>
        <w:gridCol w:w="1943"/>
      </w:tblGrid>
      <w:tr w14:paraId="21F2D9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24" w:type="dxa"/>
            <w:vAlign w:val="top"/>
          </w:tcPr>
          <w:p w14:paraId="65683BAF">
            <w:pPr>
              <w:spacing w:before="49" w:line="228" w:lineRule="auto"/>
              <w:ind w:left="15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0"/>
                <w:szCs w:val="20"/>
              </w:rPr>
              <w:t>职权</w:t>
            </w:r>
          </w:p>
          <w:p w14:paraId="023753B0">
            <w:pPr>
              <w:spacing w:before="32" w:line="212" w:lineRule="auto"/>
              <w:ind w:left="1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0"/>
                <w:szCs w:val="20"/>
              </w:rPr>
              <w:t>类别</w:t>
            </w:r>
          </w:p>
        </w:tc>
        <w:tc>
          <w:tcPr>
            <w:tcW w:w="1260" w:type="dxa"/>
            <w:vAlign w:val="top"/>
          </w:tcPr>
          <w:p w14:paraId="1653838E">
            <w:pPr>
              <w:spacing w:before="188" w:line="228" w:lineRule="auto"/>
              <w:ind w:left="2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0"/>
                <w:szCs w:val="20"/>
              </w:rPr>
              <w:t>职权名称</w:t>
            </w:r>
          </w:p>
        </w:tc>
        <w:tc>
          <w:tcPr>
            <w:tcW w:w="6572" w:type="dxa"/>
            <w:vAlign w:val="top"/>
          </w:tcPr>
          <w:p w14:paraId="035A9DB8">
            <w:pPr>
              <w:spacing w:before="187" w:line="228" w:lineRule="auto"/>
              <w:ind w:left="28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sz w:val="20"/>
                <w:szCs w:val="20"/>
              </w:rPr>
              <w:t>实施依据</w:t>
            </w:r>
          </w:p>
        </w:tc>
        <w:tc>
          <w:tcPr>
            <w:tcW w:w="4753" w:type="dxa"/>
            <w:vAlign w:val="top"/>
          </w:tcPr>
          <w:p w14:paraId="6CAE65EB">
            <w:pPr>
              <w:spacing w:before="188" w:line="228" w:lineRule="auto"/>
              <w:ind w:left="13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0"/>
                <w:szCs w:val="20"/>
              </w:rPr>
              <w:t>责任事项（岗位责任)</w:t>
            </w:r>
          </w:p>
        </w:tc>
        <w:tc>
          <w:tcPr>
            <w:tcW w:w="1943" w:type="dxa"/>
            <w:vAlign w:val="top"/>
          </w:tcPr>
          <w:p w14:paraId="4220C2A7">
            <w:pPr>
              <w:spacing w:before="188" w:line="228" w:lineRule="auto"/>
              <w:ind w:left="5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0"/>
                <w:szCs w:val="20"/>
              </w:rPr>
              <w:t>违法责任</w:t>
            </w:r>
          </w:p>
        </w:tc>
      </w:tr>
      <w:tr w14:paraId="3692FB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724" w:type="dxa"/>
            <w:vMerge w:val="restart"/>
            <w:tcBorders>
              <w:bottom w:val="nil"/>
            </w:tcBorders>
            <w:textDirection w:val="tbRlV"/>
            <w:vAlign w:val="top"/>
          </w:tcPr>
          <w:p w14:paraId="4761584E">
            <w:pPr>
              <w:pStyle w:val="5"/>
              <w:spacing w:before="255" w:line="213" w:lineRule="auto"/>
              <w:ind w:left="2286"/>
            </w:pPr>
            <w:r>
              <w:rPr>
                <w:spacing w:val="7"/>
              </w:rPr>
              <w:t>行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政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确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认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类</w:t>
            </w:r>
          </w:p>
        </w:tc>
        <w:tc>
          <w:tcPr>
            <w:tcW w:w="1260" w:type="dxa"/>
            <w:vMerge w:val="restart"/>
            <w:tcBorders>
              <w:bottom w:val="nil"/>
            </w:tcBorders>
            <w:vAlign w:val="top"/>
          </w:tcPr>
          <w:p w14:paraId="7F1A7ECC">
            <w:pPr>
              <w:rPr>
                <w:rFonts w:ascii="Arial"/>
                <w:sz w:val="21"/>
              </w:rPr>
            </w:pPr>
          </w:p>
          <w:p w14:paraId="69B1ABD9">
            <w:pPr>
              <w:spacing w:line="241" w:lineRule="auto"/>
              <w:rPr>
                <w:rFonts w:ascii="Arial"/>
                <w:sz w:val="21"/>
              </w:rPr>
            </w:pPr>
          </w:p>
          <w:p w14:paraId="5717D213">
            <w:pPr>
              <w:spacing w:line="241" w:lineRule="auto"/>
              <w:rPr>
                <w:rFonts w:ascii="Arial"/>
                <w:sz w:val="21"/>
              </w:rPr>
            </w:pPr>
          </w:p>
          <w:p w14:paraId="7F82FD89">
            <w:pPr>
              <w:spacing w:line="241" w:lineRule="auto"/>
              <w:rPr>
                <w:rFonts w:ascii="Arial"/>
                <w:sz w:val="21"/>
              </w:rPr>
            </w:pPr>
          </w:p>
          <w:p w14:paraId="4CD05BA0">
            <w:pPr>
              <w:spacing w:line="241" w:lineRule="auto"/>
              <w:rPr>
                <w:rFonts w:ascii="Arial"/>
                <w:sz w:val="21"/>
              </w:rPr>
            </w:pPr>
          </w:p>
          <w:p w14:paraId="6916A5D4">
            <w:pPr>
              <w:spacing w:line="241" w:lineRule="auto"/>
              <w:rPr>
                <w:rFonts w:ascii="Arial"/>
                <w:sz w:val="21"/>
              </w:rPr>
            </w:pPr>
          </w:p>
          <w:p w14:paraId="4F89468A">
            <w:pPr>
              <w:spacing w:line="241" w:lineRule="auto"/>
              <w:rPr>
                <w:rFonts w:ascii="Arial"/>
                <w:sz w:val="21"/>
              </w:rPr>
            </w:pPr>
          </w:p>
          <w:p w14:paraId="276888D3">
            <w:pPr>
              <w:spacing w:line="241" w:lineRule="auto"/>
              <w:rPr>
                <w:rFonts w:ascii="Arial"/>
                <w:sz w:val="21"/>
              </w:rPr>
            </w:pPr>
          </w:p>
          <w:p w14:paraId="001A3C6D">
            <w:pPr>
              <w:pStyle w:val="5"/>
              <w:spacing w:before="65" w:line="260" w:lineRule="auto"/>
              <w:ind w:left="114" w:right="313" w:firstLine="5"/>
              <w:jc w:val="both"/>
            </w:pPr>
            <w:r>
              <w:rPr>
                <w:spacing w:val="4"/>
              </w:rPr>
              <w:t>2.对经营</w:t>
            </w:r>
            <w:r>
              <w:rPr>
                <w:spacing w:val="6"/>
              </w:rPr>
              <w:t>乙类非处方药的药品零售企业从业人员资格认</w:t>
            </w:r>
            <w:r>
              <w:t>定</w:t>
            </w:r>
          </w:p>
        </w:tc>
        <w:tc>
          <w:tcPr>
            <w:tcW w:w="6572" w:type="dxa"/>
            <w:vMerge w:val="restart"/>
            <w:tcBorders>
              <w:bottom w:val="nil"/>
            </w:tcBorders>
            <w:vAlign w:val="top"/>
          </w:tcPr>
          <w:p w14:paraId="3EF918F7">
            <w:pPr>
              <w:spacing w:line="417" w:lineRule="auto"/>
              <w:rPr>
                <w:rFonts w:ascii="Arial"/>
                <w:sz w:val="21"/>
              </w:rPr>
            </w:pPr>
          </w:p>
          <w:p w14:paraId="522855E1">
            <w:pPr>
              <w:pStyle w:val="5"/>
              <w:spacing w:before="59" w:line="327" w:lineRule="auto"/>
              <w:ind w:left="108" w:right="16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《中华人民共和国药品管理法》第十五条开办药品经营企业必须</w:t>
            </w:r>
            <w:r>
              <w:rPr>
                <w:spacing w:val="-1"/>
                <w:sz w:val="18"/>
                <w:szCs w:val="18"/>
              </w:rPr>
              <w:t>具备以下条件：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（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一）具有依法经过资格认定的药学技术人员</w:t>
            </w:r>
            <w:r>
              <w:rPr>
                <w:spacing w:val="-12"/>
                <w:sz w:val="18"/>
                <w:szCs w:val="18"/>
              </w:rPr>
              <w:t>；（</w:t>
            </w:r>
            <w:r>
              <w:rPr>
                <w:spacing w:val="-5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二）具有与所经营药品相适应</w:t>
            </w:r>
            <w:r>
              <w:rPr>
                <w:spacing w:val="-1"/>
                <w:sz w:val="18"/>
                <w:szCs w:val="18"/>
              </w:rPr>
              <w:t>的营业场所、设备、仓储设施、卫生环境</w:t>
            </w:r>
            <w:r>
              <w:rPr>
                <w:spacing w:val="-9"/>
                <w:sz w:val="18"/>
                <w:szCs w:val="18"/>
              </w:rPr>
              <w:t>；（</w:t>
            </w:r>
            <w:r>
              <w:rPr>
                <w:spacing w:val="-46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三）具有与所经营药品相适应的质量管理机构或者人员</w:t>
            </w:r>
            <w:r>
              <w:rPr>
                <w:spacing w:val="-12"/>
                <w:sz w:val="18"/>
                <w:szCs w:val="18"/>
              </w:rPr>
              <w:t>；（</w:t>
            </w:r>
            <w:r>
              <w:rPr>
                <w:spacing w:val="-37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四）具有保证所经营药品质</w:t>
            </w:r>
            <w:r>
              <w:rPr>
                <w:spacing w:val="-2"/>
                <w:sz w:val="18"/>
                <w:szCs w:val="18"/>
              </w:rPr>
              <w:t>量的规章制度。</w:t>
            </w:r>
          </w:p>
          <w:p w14:paraId="3FA1EE76">
            <w:pPr>
              <w:pStyle w:val="5"/>
              <w:spacing w:before="2" w:line="327" w:lineRule="auto"/>
              <w:ind w:left="108" w:right="60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《中华人民共和国药品管理法实施条例》（</w:t>
            </w:r>
            <w:r>
              <w:rPr>
                <w:spacing w:val="-4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国务院令第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360</w:t>
            </w:r>
            <w:r>
              <w:rPr>
                <w:spacing w:val="-31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号）第十五条国家实</w:t>
            </w:r>
            <w:r>
              <w:rPr>
                <w:sz w:val="18"/>
                <w:szCs w:val="18"/>
              </w:rPr>
              <w:t>行处方药和非处方药分类管理制度。国家根据非处方药品的安全</w:t>
            </w:r>
            <w:r>
              <w:rPr>
                <w:spacing w:val="-1"/>
                <w:sz w:val="18"/>
                <w:szCs w:val="18"/>
              </w:rPr>
              <w:t>性，将非处方药</w:t>
            </w:r>
            <w:r>
              <w:rPr>
                <w:spacing w:val="-2"/>
                <w:sz w:val="18"/>
                <w:szCs w:val="18"/>
              </w:rPr>
              <w:t>分为甲类非处方药和乙类非处方药。经营处方药、甲类</w:t>
            </w:r>
            <w:r>
              <w:rPr>
                <w:spacing w:val="-3"/>
                <w:sz w:val="18"/>
                <w:szCs w:val="18"/>
              </w:rPr>
              <w:t>非处方药的药品零售企业，</w:t>
            </w:r>
            <w:r>
              <w:rPr>
                <w:sz w:val="18"/>
                <w:szCs w:val="18"/>
              </w:rPr>
              <w:t>应当配备执业药师或者其他依法经资格认定的药学技术人员。经</w:t>
            </w:r>
            <w:r>
              <w:rPr>
                <w:spacing w:val="-1"/>
                <w:sz w:val="18"/>
                <w:szCs w:val="18"/>
              </w:rPr>
              <w:t>营乙类非处方药的药品零售企业，应当配备经设区的市级药</w:t>
            </w:r>
            <w:r>
              <w:rPr>
                <w:spacing w:val="-2"/>
                <w:sz w:val="18"/>
                <w:szCs w:val="18"/>
              </w:rPr>
              <w:t>品监督管理机构或者省、</w:t>
            </w:r>
            <w:r>
              <w:rPr>
                <w:spacing w:val="-4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自治区、直</w:t>
            </w:r>
            <w:r>
              <w:rPr>
                <w:sz w:val="18"/>
                <w:szCs w:val="18"/>
              </w:rPr>
              <w:t>辖市人民政府药品监督管理部门直接设置的县级药品监督管理机</w:t>
            </w:r>
            <w:r>
              <w:rPr>
                <w:spacing w:val="-1"/>
                <w:sz w:val="18"/>
                <w:szCs w:val="18"/>
              </w:rPr>
              <w:t>构组织考核合格的业务人员。</w:t>
            </w:r>
          </w:p>
          <w:p w14:paraId="665718D7">
            <w:pPr>
              <w:pStyle w:val="5"/>
              <w:spacing w:line="327" w:lineRule="auto"/>
              <w:ind w:left="114" w:right="163" w:hanging="6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《药品经营许可证管理办法》（</w:t>
            </w:r>
            <w:r>
              <w:rPr>
                <w:spacing w:val="-4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国家食品药品监督</w:t>
            </w:r>
            <w:r>
              <w:rPr>
                <w:spacing w:val="-3"/>
                <w:sz w:val="18"/>
                <w:szCs w:val="18"/>
              </w:rPr>
              <w:t>管理局令第</w:t>
            </w:r>
            <w:r>
              <w:rPr>
                <w:spacing w:val="-29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6</w:t>
            </w:r>
            <w:r>
              <w:rPr>
                <w:spacing w:val="-31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号）第五条开办</w:t>
            </w:r>
            <w:r>
              <w:rPr>
                <w:sz w:val="18"/>
                <w:szCs w:val="18"/>
              </w:rPr>
              <w:t>药品零售企业，应符合当地常住人口数量、地域、</w:t>
            </w:r>
            <w:r>
              <w:rPr>
                <w:spacing w:val="-1"/>
                <w:sz w:val="18"/>
                <w:szCs w:val="18"/>
              </w:rPr>
              <w:t>交通状况和实际需要的要求，符合方便群众购药的原则，并符合以下设置规定</w:t>
            </w:r>
            <w:r>
              <w:rPr>
                <w:spacing w:val="-11"/>
                <w:sz w:val="18"/>
                <w:szCs w:val="18"/>
              </w:rPr>
              <w:t>：（</w:t>
            </w:r>
            <w:r>
              <w:rPr>
                <w:spacing w:val="-48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一）具有保证所经营药品质</w:t>
            </w:r>
            <w:r>
              <w:rPr>
                <w:sz w:val="18"/>
                <w:szCs w:val="18"/>
              </w:rPr>
              <w:t>量的规章制度</w:t>
            </w:r>
            <w:r>
              <w:rPr>
                <w:spacing w:val="-12"/>
                <w:sz w:val="18"/>
                <w:szCs w:val="18"/>
              </w:rPr>
              <w:t>；（</w:t>
            </w:r>
            <w:r>
              <w:rPr>
                <w:spacing w:val="-4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二）具有依法经过资格认定的药学技术</w:t>
            </w:r>
            <w:r>
              <w:rPr>
                <w:spacing w:val="-1"/>
                <w:sz w:val="18"/>
                <w:szCs w:val="18"/>
              </w:rPr>
              <w:t>人员；"</w:t>
            </w:r>
          </w:p>
        </w:tc>
        <w:tc>
          <w:tcPr>
            <w:tcW w:w="4753" w:type="dxa"/>
            <w:vAlign w:val="top"/>
          </w:tcPr>
          <w:p w14:paraId="3848C015">
            <w:pPr>
              <w:pStyle w:val="5"/>
              <w:spacing w:before="71" w:line="288" w:lineRule="auto"/>
              <w:ind w:left="114" w:right="104" w:firstLine="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1、受理责任：公示依法应当提交的材料；一次性告知补正</w:t>
            </w:r>
            <w:r>
              <w:rPr>
                <w:sz w:val="18"/>
                <w:szCs w:val="18"/>
              </w:rPr>
              <w:t>材料；依法受理或不予受理（不予受理应告知理由）。</w:t>
            </w:r>
          </w:p>
        </w:tc>
        <w:tc>
          <w:tcPr>
            <w:tcW w:w="1943" w:type="dxa"/>
            <w:vMerge w:val="restart"/>
            <w:tcBorders>
              <w:bottom w:val="nil"/>
            </w:tcBorders>
            <w:vAlign w:val="top"/>
          </w:tcPr>
          <w:p w14:paraId="7AFA8807">
            <w:pPr>
              <w:spacing w:line="293" w:lineRule="auto"/>
              <w:rPr>
                <w:rFonts w:ascii="Arial"/>
                <w:sz w:val="21"/>
              </w:rPr>
            </w:pPr>
          </w:p>
          <w:p w14:paraId="455D2CE1">
            <w:pPr>
              <w:pStyle w:val="5"/>
              <w:spacing w:before="59" w:line="287" w:lineRule="auto"/>
              <w:ind w:left="110" w:right="108" w:firstLine="363"/>
              <w:jc w:val="both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行政机关未履行</w:t>
            </w:r>
            <w:r>
              <w:rPr>
                <w:spacing w:val="11"/>
                <w:sz w:val="18"/>
                <w:szCs w:val="18"/>
              </w:rPr>
              <w:t>法定职责或者违法行</w:t>
            </w:r>
            <w:r>
              <w:rPr>
                <w:spacing w:val="-9"/>
                <w:sz w:val="18"/>
                <w:szCs w:val="18"/>
              </w:rPr>
              <w:t>使职权的，责令限期改正；逾期不改正的，给予通报批评、取消评比先进资格等处理；情节严重的，对直接负责的</w:t>
            </w:r>
            <w:r>
              <w:rPr>
                <w:spacing w:val="11"/>
                <w:sz w:val="18"/>
                <w:szCs w:val="18"/>
              </w:rPr>
              <w:t>主管人员和其他直接责任人员依法给予处</w:t>
            </w:r>
            <w:r>
              <w:rPr>
                <w:spacing w:val="-9"/>
                <w:sz w:val="18"/>
                <w:szCs w:val="18"/>
              </w:rPr>
              <w:t>分；构成犯罪的，依法</w:t>
            </w:r>
            <w:r>
              <w:rPr>
                <w:spacing w:val="-1"/>
                <w:sz w:val="18"/>
                <w:szCs w:val="18"/>
              </w:rPr>
              <w:t>追究刑事责任。</w:t>
            </w:r>
          </w:p>
          <w:p w14:paraId="4E83D421">
            <w:pPr>
              <w:pStyle w:val="5"/>
              <w:spacing w:before="8" w:line="277" w:lineRule="auto"/>
              <w:ind w:left="110" w:right="108" w:firstLine="362"/>
              <w:jc w:val="both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行政执法人员未</w:t>
            </w:r>
            <w:r>
              <w:rPr>
                <w:spacing w:val="11"/>
                <w:sz w:val="18"/>
                <w:szCs w:val="18"/>
              </w:rPr>
              <w:t>履行法定职责或者违</w:t>
            </w:r>
            <w:r>
              <w:rPr>
                <w:spacing w:val="-9"/>
                <w:sz w:val="18"/>
                <w:szCs w:val="18"/>
              </w:rPr>
              <w:t>法行使职权的，视情节轻重给予批评教育、离</w:t>
            </w:r>
            <w:r>
              <w:rPr>
                <w:spacing w:val="11"/>
                <w:sz w:val="18"/>
                <w:szCs w:val="18"/>
              </w:rPr>
              <w:t>岗培训、调离执法岗</w:t>
            </w:r>
            <w:r>
              <w:rPr>
                <w:spacing w:val="-9"/>
                <w:sz w:val="18"/>
                <w:szCs w:val="18"/>
              </w:rPr>
              <w:t>位、取消行政执法资格</w:t>
            </w:r>
            <w:r>
              <w:rPr>
                <w:spacing w:val="11"/>
                <w:sz w:val="18"/>
                <w:szCs w:val="18"/>
              </w:rPr>
              <w:t>等处理或者依法给予</w:t>
            </w:r>
            <w:r>
              <w:rPr>
                <w:spacing w:val="-9"/>
                <w:sz w:val="18"/>
                <w:szCs w:val="18"/>
              </w:rPr>
              <w:t>处分；构成犯罪的，依</w:t>
            </w:r>
            <w:r>
              <w:rPr>
                <w:spacing w:val="-1"/>
                <w:sz w:val="18"/>
                <w:szCs w:val="18"/>
              </w:rPr>
              <w:t>法追究刑事责任。</w:t>
            </w:r>
          </w:p>
        </w:tc>
      </w:tr>
      <w:tr w14:paraId="3297C1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5" w:hRule="atLeast"/>
        </w:trPr>
        <w:tc>
          <w:tcPr>
            <w:tcW w:w="72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BE26C08">
            <w:pPr>
              <w:rPr>
                <w:rFonts w:ascii="Arial"/>
                <w:sz w:val="21"/>
              </w:rPr>
            </w:pPr>
          </w:p>
        </w:tc>
        <w:tc>
          <w:tcPr>
            <w:tcW w:w="1260" w:type="dxa"/>
            <w:vMerge w:val="continue"/>
            <w:tcBorders>
              <w:top w:val="nil"/>
              <w:bottom w:val="nil"/>
            </w:tcBorders>
            <w:vAlign w:val="top"/>
          </w:tcPr>
          <w:p w14:paraId="12AE454D">
            <w:pPr>
              <w:rPr>
                <w:rFonts w:ascii="Arial"/>
                <w:sz w:val="21"/>
              </w:rPr>
            </w:pPr>
          </w:p>
        </w:tc>
        <w:tc>
          <w:tcPr>
            <w:tcW w:w="6572" w:type="dxa"/>
            <w:vMerge w:val="continue"/>
            <w:tcBorders>
              <w:top w:val="nil"/>
              <w:bottom w:val="nil"/>
            </w:tcBorders>
            <w:vAlign w:val="top"/>
          </w:tcPr>
          <w:p w14:paraId="31F8F0B9">
            <w:pPr>
              <w:rPr>
                <w:rFonts w:ascii="Arial"/>
                <w:sz w:val="21"/>
              </w:rPr>
            </w:pPr>
          </w:p>
        </w:tc>
        <w:tc>
          <w:tcPr>
            <w:tcW w:w="4753" w:type="dxa"/>
            <w:vAlign w:val="top"/>
          </w:tcPr>
          <w:p w14:paraId="4F0651C8">
            <w:pPr>
              <w:pStyle w:val="5"/>
              <w:spacing w:before="262" w:line="328" w:lineRule="auto"/>
              <w:ind w:left="113" w:right="104" w:firstLine="6"/>
              <w:jc w:val="both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2、审查责任：依据《中华人民共和国药品管理法》、《中</w:t>
            </w:r>
            <w:r>
              <w:rPr>
                <w:spacing w:val="-1"/>
                <w:sz w:val="18"/>
                <w:szCs w:val="18"/>
              </w:rPr>
              <w:t>华人民共和国药品管理法实施条例》、《药品经营许可证管理办法》等有关规定进行材料审查。</w:t>
            </w:r>
          </w:p>
        </w:tc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6B9D573">
            <w:pPr>
              <w:rPr>
                <w:rFonts w:ascii="Arial"/>
                <w:sz w:val="21"/>
              </w:rPr>
            </w:pPr>
          </w:p>
        </w:tc>
      </w:tr>
      <w:tr w14:paraId="219387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72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E48649C">
            <w:pPr>
              <w:rPr>
                <w:rFonts w:ascii="Arial"/>
                <w:sz w:val="21"/>
              </w:rPr>
            </w:pPr>
          </w:p>
        </w:tc>
        <w:tc>
          <w:tcPr>
            <w:tcW w:w="1260" w:type="dxa"/>
            <w:vMerge w:val="continue"/>
            <w:tcBorders>
              <w:top w:val="nil"/>
              <w:bottom w:val="nil"/>
            </w:tcBorders>
            <w:vAlign w:val="top"/>
          </w:tcPr>
          <w:p w14:paraId="2C7A28E7">
            <w:pPr>
              <w:rPr>
                <w:rFonts w:ascii="Arial"/>
                <w:sz w:val="21"/>
              </w:rPr>
            </w:pPr>
          </w:p>
        </w:tc>
        <w:tc>
          <w:tcPr>
            <w:tcW w:w="6572" w:type="dxa"/>
            <w:vMerge w:val="continue"/>
            <w:tcBorders>
              <w:top w:val="nil"/>
              <w:bottom w:val="nil"/>
            </w:tcBorders>
            <w:vAlign w:val="top"/>
          </w:tcPr>
          <w:p w14:paraId="2DFB91CF">
            <w:pPr>
              <w:rPr>
                <w:rFonts w:ascii="Arial"/>
                <w:sz w:val="21"/>
              </w:rPr>
            </w:pPr>
          </w:p>
        </w:tc>
        <w:tc>
          <w:tcPr>
            <w:tcW w:w="4753" w:type="dxa"/>
            <w:vAlign w:val="top"/>
          </w:tcPr>
          <w:p w14:paraId="3B2C2F6E">
            <w:pPr>
              <w:pStyle w:val="5"/>
              <w:spacing w:before="73" w:line="287" w:lineRule="auto"/>
              <w:ind w:left="113" w:right="14" w:firstLine="1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3、决定责任：依法作出决定（不予许可的应当告知理由</w:t>
            </w:r>
            <w:r>
              <w:rPr>
                <w:spacing w:val="-33"/>
                <w:sz w:val="18"/>
                <w:szCs w:val="18"/>
              </w:rPr>
              <w:t>）；</w:t>
            </w:r>
            <w:r>
              <w:rPr>
                <w:spacing w:val="-1"/>
                <w:sz w:val="18"/>
                <w:szCs w:val="18"/>
              </w:rPr>
              <w:t>按时办结；法定告知。</w:t>
            </w:r>
          </w:p>
        </w:tc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47520352">
            <w:pPr>
              <w:rPr>
                <w:rFonts w:ascii="Arial"/>
                <w:sz w:val="21"/>
              </w:rPr>
            </w:pPr>
          </w:p>
        </w:tc>
      </w:tr>
      <w:tr w14:paraId="157922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72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A7FAF2A">
            <w:pPr>
              <w:rPr>
                <w:rFonts w:ascii="Arial"/>
                <w:sz w:val="21"/>
              </w:rPr>
            </w:pPr>
          </w:p>
        </w:tc>
        <w:tc>
          <w:tcPr>
            <w:tcW w:w="1260" w:type="dxa"/>
            <w:vMerge w:val="continue"/>
            <w:tcBorders>
              <w:top w:val="nil"/>
              <w:bottom w:val="nil"/>
            </w:tcBorders>
            <w:vAlign w:val="top"/>
          </w:tcPr>
          <w:p w14:paraId="6036EBE4">
            <w:pPr>
              <w:rPr>
                <w:rFonts w:ascii="Arial"/>
                <w:sz w:val="21"/>
              </w:rPr>
            </w:pPr>
          </w:p>
        </w:tc>
        <w:tc>
          <w:tcPr>
            <w:tcW w:w="6572" w:type="dxa"/>
            <w:vMerge w:val="continue"/>
            <w:tcBorders>
              <w:top w:val="nil"/>
              <w:bottom w:val="nil"/>
            </w:tcBorders>
            <w:vAlign w:val="top"/>
          </w:tcPr>
          <w:p w14:paraId="63C229F5">
            <w:pPr>
              <w:rPr>
                <w:rFonts w:ascii="Arial"/>
                <w:sz w:val="21"/>
              </w:rPr>
            </w:pPr>
          </w:p>
        </w:tc>
        <w:tc>
          <w:tcPr>
            <w:tcW w:w="4753" w:type="dxa"/>
            <w:vAlign w:val="top"/>
          </w:tcPr>
          <w:p w14:paraId="044774D5">
            <w:pPr>
              <w:pStyle w:val="5"/>
              <w:spacing w:before="72" w:line="287" w:lineRule="auto"/>
              <w:ind w:left="118" w:right="10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4、送达责任：制作送达文书；按规定送达当事人；信息公</w:t>
            </w:r>
            <w:r>
              <w:rPr>
                <w:spacing w:val="-7"/>
                <w:sz w:val="18"/>
                <w:szCs w:val="18"/>
              </w:rPr>
              <w:t>开。</w:t>
            </w:r>
          </w:p>
        </w:tc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E20AEF3">
            <w:pPr>
              <w:rPr>
                <w:rFonts w:ascii="Arial"/>
                <w:sz w:val="21"/>
              </w:rPr>
            </w:pPr>
          </w:p>
        </w:tc>
      </w:tr>
      <w:tr w14:paraId="520E0E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8" w:hRule="atLeast"/>
        </w:trPr>
        <w:tc>
          <w:tcPr>
            <w:tcW w:w="724" w:type="dxa"/>
            <w:vMerge w:val="continue"/>
            <w:tcBorders>
              <w:top w:val="nil"/>
            </w:tcBorders>
            <w:textDirection w:val="tbRlV"/>
            <w:vAlign w:val="top"/>
          </w:tcPr>
          <w:p w14:paraId="5443360E">
            <w:pPr>
              <w:rPr>
                <w:rFonts w:ascii="Arial"/>
                <w:sz w:val="21"/>
              </w:rPr>
            </w:pPr>
          </w:p>
        </w:tc>
        <w:tc>
          <w:tcPr>
            <w:tcW w:w="1260" w:type="dxa"/>
            <w:vMerge w:val="continue"/>
            <w:tcBorders>
              <w:top w:val="nil"/>
            </w:tcBorders>
            <w:vAlign w:val="top"/>
          </w:tcPr>
          <w:p w14:paraId="4257883B">
            <w:pPr>
              <w:rPr>
                <w:rFonts w:ascii="Arial"/>
                <w:sz w:val="21"/>
              </w:rPr>
            </w:pPr>
          </w:p>
        </w:tc>
        <w:tc>
          <w:tcPr>
            <w:tcW w:w="6572" w:type="dxa"/>
            <w:vMerge w:val="continue"/>
            <w:tcBorders>
              <w:top w:val="nil"/>
            </w:tcBorders>
            <w:vAlign w:val="top"/>
          </w:tcPr>
          <w:p w14:paraId="0833138F">
            <w:pPr>
              <w:rPr>
                <w:rFonts w:ascii="Arial"/>
                <w:sz w:val="21"/>
              </w:rPr>
            </w:pPr>
          </w:p>
        </w:tc>
        <w:tc>
          <w:tcPr>
            <w:tcW w:w="4753" w:type="dxa"/>
            <w:vAlign w:val="top"/>
          </w:tcPr>
          <w:p w14:paraId="578D9A70">
            <w:pPr>
              <w:spacing w:line="285" w:lineRule="auto"/>
              <w:rPr>
                <w:rFonts w:ascii="Arial"/>
                <w:sz w:val="21"/>
              </w:rPr>
            </w:pPr>
          </w:p>
          <w:p w14:paraId="5101E8A1">
            <w:pPr>
              <w:spacing w:line="285" w:lineRule="auto"/>
              <w:rPr>
                <w:rFonts w:ascii="Arial"/>
                <w:sz w:val="21"/>
              </w:rPr>
            </w:pPr>
          </w:p>
          <w:p w14:paraId="0CF71D03">
            <w:pPr>
              <w:spacing w:line="285" w:lineRule="auto"/>
              <w:rPr>
                <w:rFonts w:ascii="Arial"/>
                <w:sz w:val="21"/>
              </w:rPr>
            </w:pPr>
          </w:p>
          <w:p w14:paraId="06C67956">
            <w:pPr>
              <w:spacing w:line="286" w:lineRule="auto"/>
              <w:rPr>
                <w:rFonts w:ascii="Arial"/>
                <w:sz w:val="21"/>
              </w:rPr>
            </w:pPr>
          </w:p>
          <w:p w14:paraId="1B0E1686">
            <w:pPr>
              <w:pStyle w:val="5"/>
              <w:spacing w:before="58" w:line="216" w:lineRule="auto"/>
              <w:ind w:left="12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5、其他法律法规规章规定应履行的责任。</w:t>
            </w:r>
          </w:p>
        </w:tc>
        <w:tc>
          <w:tcPr>
            <w:tcW w:w="1943" w:type="dxa"/>
            <w:vMerge w:val="continue"/>
            <w:tcBorders>
              <w:top w:val="nil"/>
            </w:tcBorders>
            <w:vAlign w:val="top"/>
          </w:tcPr>
          <w:p w14:paraId="55E3998C">
            <w:pPr>
              <w:rPr>
                <w:rFonts w:ascii="Arial"/>
                <w:sz w:val="21"/>
              </w:rPr>
            </w:pPr>
          </w:p>
        </w:tc>
      </w:tr>
      <w:tr w14:paraId="0BBE80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5252" w:type="dxa"/>
            <w:gridSpan w:val="5"/>
            <w:vAlign w:val="top"/>
          </w:tcPr>
          <w:p w14:paraId="2DFFF501">
            <w:pPr>
              <w:pStyle w:val="5"/>
              <w:spacing w:before="236" w:line="216" w:lineRule="auto"/>
              <w:ind w:left="116"/>
              <w:rPr>
                <w:rFonts w:hint="eastAsia" w:eastAsia="仿宋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服务机构：</w:t>
            </w:r>
            <w:r>
              <w:rPr>
                <w:rFonts w:hint="eastAsia"/>
                <w:sz w:val="18"/>
                <w:szCs w:val="18"/>
                <w:lang w:eastAsia="zh-CN"/>
              </w:rPr>
              <w:t>开封市祥符区市场监督管理局</w:t>
            </w:r>
            <w:r>
              <w:rPr>
                <w:sz w:val="18"/>
                <w:szCs w:val="18"/>
              </w:rPr>
              <w:t xml:space="preserve">    服务电话：</w:t>
            </w:r>
            <w:r>
              <w:rPr>
                <w:rFonts w:hint="eastAsia"/>
                <w:sz w:val="18"/>
                <w:szCs w:val="18"/>
                <w:lang w:eastAsia="zh-CN"/>
              </w:rPr>
              <w:t>26661135</w:t>
            </w:r>
            <w:r>
              <w:rPr>
                <w:sz w:val="18"/>
                <w:szCs w:val="18"/>
              </w:rPr>
              <w:t xml:space="preserve">     服务地点：</w:t>
            </w:r>
            <w:r>
              <w:rPr>
                <w:rFonts w:hint="eastAsia"/>
                <w:sz w:val="18"/>
                <w:szCs w:val="18"/>
                <w:lang w:eastAsia="zh-CN"/>
              </w:rPr>
              <w:t>祥符区祥符大道301号</w:t>
            </w:r>
            <w:r>
              <w:rPr>
                <w:sz w:val="18"/>
                <w:szCs w:val="18"/>
              </w:rPr>
              <w:t xml:space="preserve">      投诉机</w:t>
            </w:r>
            <w:r>
              <w:rPr>
                <w:spacing w:val="-1"/>
                <w:sz w:val="18"/>
                <w:szCs w:val="18"/>
              </w:rPr>
              <w:t>构：</w:t>
            </w:r>
            <w:r>
              <w:rPr>
                <w:rFonts w:hint="eastAsia"/>
                <w:spacing w:val="-1"/>
                <w:sz w:val="18"/>
                <w:szCs w:val="18"/>
                <w:lang w:eastAsia="zh-CN"/>
              </w:rPr>
              <w:t>开封市祥符区市场监督管理局</w:t>
            </w:r>
            <w:r>
              <w:rPr>
                <w:spacing w:val="-1"/>
                <w:sz w:val="18"/>
                <w:szCs w:val="18"/>
              </w:rPr>
              <w:t xml:space="preserve">    </w:t>
            </w:r>
            <w:r>
              <w:rPr>
                <w:rFonts w:hint="eastAsia"/>
                <w:spacing w:val="-1"/>
                <w:sz w:val="18"/>
                <w:szCs w:val="18"/>
                <w:lang w:eastAsia="zh-CN"/>
              </w:rPr>
              <w:t>投诉电话：26612315</w:t>
            </w:r>
          </w:p>
        </w:tc>
      </w:tr>
    </w:tbl>
    <w:p w14:paraId="2ECB3323">
      <w:pPr>
        <w:rPr>
          <w:rFonts w:ascii="Arial"/>
          <w:sz w:val="21"/>
        </w:rPr>
      </w:pPr>
    </w:p>
    <w:sectPr>
      <w:footerReference r:id="rId6" w:type="default"/>
      <w:pgSz w:w="16839" w:h="11906"/>
      <w:pgMar w:top="1012" w:right="685" w:bottom="1213" w:left="895" w:header="0" w:footer="9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5CAA0">
    <w:pPr>
      <w:spacing w:line="266" w:lineRule="exact"/>
      <w:ind w:left="749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5ED92">
    <w:pPr>
      <w:spacing w:line="266" w:lineRule="exact"/>
      <w:ind w:left="748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2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21A35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1911</Words>
  <Characters>1947</Characters>
  <TotalTime>1</TotalTime>
  <ScaleCrop>false</ScaleCrop>
  <LinksUpToDate>false</LinksUpToDate>
  <CharactersWithSpaces>2034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2022-06-06T15:43:00Z</dcterms:created>
  <dc:creator>inspur</dc:creator>
  <cp:lastModifiedBy>张云鹏</cp:lastModifiedBy>
  <dcterms:modified xsi:type="dcterms:W3CDTF">2026-03-13T08:34:22Z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2026-03-13T16:32:50Z</vt:filetime>
  </property>
  <property fmtid="{D5CDD505-2E9C-101B-9397-08002B2CF9AE}" pid="4" name="KSOTemplateDocerSaveRecord">
    <vt:lpwstr>eyJoZGlkIjoiMGVmNzdkYjUzNTFiYmViMGZlOWJiZDI3NDEzOTc2ZGIiLCJ1c2VySWQiOiIyMDkyODgxNzUifQ==</vt:lpwstr>
  </property>
  <property fmtid="{D5CDD505-2E9C-101B-9397-08002B2CF9AE}" pid="5" name="KSOProductBuildVer">
    <vt:lpwstr>2052-12.1.0.25225</vt:lpwstr>
  </property>
  <property fmtid="{D5CDD505-2E9C-101B-9397-08002B2CF9AE}" pid="6" name="ICV">
    <vt:lpwstr>1873D65C0BB548A8822C125BBB6C220C_12</vt:lpwstr>
  </property>
</Properties>
</file>